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ascii="DengXian" w:hAnsi="DengXian" w:eastAsia="DengXian" w:cs="Times New Roman"/>
          <w:b/>
          <w:sz w:val="24"/>
        </w:rPr>
      </w:pPr>
      <w:r>
        <w:rPr>
          <w:rFonts w:ascii="DengXian" w:hAnsi="DengXian" w:eastAsia="DengXian" w:cs="Times New Roman"/>
          <w:b/>
          <w:sz w:val="24"/>
        </w:rPr>
        <w:drawing>
          <wp:inline distT="0" distB="0" distL="0" distR="0">
            <wp:extent cx="4152900" cy="1285875"/>
            <wp:effectExtent l="0" t="0" r="0" b="9525"/>
            <wp:docPr id="28901669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16697"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152900" cy="1285875"/>
                    </a:xfrm>
                    <a:prstGeom prst="rect">
                      <a:avLst/>
                    </a:prstGeom>
                    <a:noFill/>
                    <a:ln>
                      <a:noFill/>
                    </a:ln>
                  </pic:spPr>
                </pic:pic>
              </a:graphicData>
            </a:graphic>
          </wp:inline>
        </w:drawing>
      </w:r>
    </w:p>
    <w:p>
      <w:pPr>
        <w:spacing w:line="276" w:lineRule="auto"/>
        <w:jc w:val="center"/>
        <w:rPr>
          <w:rFonts w:hint="eastAsia" w:ascii="DengXian" w:hAnsi="DengXian" w:eastAsia="DengXian" w:cs="Times New Roman"/>
          <w:b/>
          <w:sz w:val="48"/>
          <w:szCs w:val="44"/>
        </w:rPr>
      </w:pPr>
      <w:r>
        <w:rPr>
          <w:rFonts w:ascii="DengXian" w:hAnsi="DengXian" w:eastAsia="DengXian" w:cs="Times New Roman"/>
          <w:b/>
          <w:sz w:val="48"/>
          <w:szCs w:val="44"/>
        </w:rPr>
        <w:t>美国圣路易斯大学2024-2025</w:t>
      </w:r>
      <w:r>
        <w:rPr>
          <w:rFonts w:hint="eastAsia" w:ascii="DengXian" w:hAnsi="DengXian" w:eastAsia="DengXian" w:cs="Times New Roman"/>
          <w:b/>
          <w:sz w:val="48"/>
          <w:szCs w:val="44"/>
        </w:rPr>
        <w:t>学年</w:t>
      </w:r>
    </w:p>
    <w:p>
      <w:pPr>
        <w:spacing w:line="276" w:lineRule="auto"/>
        <w:jc w:val="center"/>
        <w:rPr>
          <w:rFonts w:ascii="DengXian" w:hAnsi="DengXian" w:eastAsia="DengXian" w:cs="Times New Roman"/>
          <w:b/>
          <w:sz w:val="48"/>
          <w:szCs w:val="44"/>
        </w:rPr>
      </w:pPr>
      <w:r>
        <w:rPr>
          <w:rFonts w:hint="eastAsia" w:ascii="DengXian" w:hAnsi="DengXian" w:eastAsia="DengXian" w:cs="Times New Roman"/>
          <w:b/>
          <w:sz w:val="48"/>
          <w:szCs w:val="44"/>
        </w:rPr>
        <w:t>本科</w:t>
      </w:r>
      <w:r>
        <w:rPr>
          <w:rFonts w:ascii="DengXian" w:hAnsi="DengXian" w:eastAsia="DengXian" w:cs="Times New Roman"/>
          <w:b/>
          <w:sz w:val="48"/>
          <w:szCs w:val="44"/>
        </w:rPr>
        <w:t>访问生项目</w:t>
      </w:r>
    </w:p>
    <w:p>
      <w:pPr>
        <w:spacing w:line="276" w:lineRule="auto"/>
        <w:rPr>
          <w:rFonts w:ascii="DengXian" w:hAnsi="DengXian" w:eastAsia="DengXian" w:cs="Times New Roman"/>
        </w:rPr>
      </w:pPr>
    </w:p>
    <w:p>
      <w:pPr>
        <w:spacing w:line="276" w:lineRule="auto"/>
        <w:rPr>
          <w:rFonts w:ascii="DengXian" w:hAnsi="DengXian" w:eastAsia="DengXian" w:cs="Times New Roman"/>
          <w:lang w:val="en-GB"/>
        </w:rPr>
      </w:pPr>
    </w:p>
    <w:p>
      <w:pPr>
        <w:spacing w:line="276" w:lineRule="auto"/>
        <w:rPr>
          <w:rFonts w:ascii="DengXian" w:hAnsi="DengXian" w:eastAsia="DengXian" w:cs="Times New Roman"/>
          <w:sz w:val="22"/>
        </w:rPr>
      </w:pPr>
      <w:r>
        <w:rPr>
          <w:rFonts w:ascii="DengXian" w:hAnsi="DengXian" w:eastAsia="DengXian" w:cs="Times New Roman"/>
          <w:sz w:val="22"/>
        </w:rPr>
        <w:t>圣路易斯大学为中国合作院校的</w:t>
      </w:r>
      <w:r>
        <w:rPr>
          <w:rFonts w:hint="eastAsia" w:ascii="DengXian" w:hAnsi="DengXian" w:eastAsia="DengXian" w:cs="Times New Roman"/>
          <w:sz w:val="22"/>
        </w:rPr>
        <w:t>在校本科</w:t>
      </w:r>
      <w:r>
        <w:rPr>
          <w:rFonts w:ascii="DengXian" w:hAnsi="DengXian" w:eastAsia="DengXian" w:cs="Times New Roman"/>
          <w:sz w:val="22"/>
        </w:rPr>
        <w:t>生提供前往圣路易斯大学美国校本部和西班牙马德里校区学习</w:t>
      </w:r>
      <w:r>
        <w:rPr>
          <w:rFonts w:hint="eastAsia" w:ascii="DengXian" w:hAnsi="DengXian" w:eastAsia="DengXian" w:cs="Times New Roman"/>
          <w:sz w:val="22"/>
        </w:rPr>
        <w:t>交流</w:t>
      </w:r>
      <w:r>
        <w:rPr>
          <w:rFonts w:ascii="DengXian" w:hAnsi="DengXian" w:eastAsia="DengXian" w:cs="Times New Roman"/>
          <w:sz w:val="22"/>
        </w:rPr>
        <w:t>的机会。访问生可以于春季学期或秋季学期加入圣路易斯大学的常规课堂，体验100%的美国大学生活，感受不同的文化。</w:t>
      </w:r>
    </w:p>
    <w:p>
      <w:pPr>
        <w:spacing w:line="276" w:lineRule="auto"/>
        <w:rPr>
          <w:rFonts w:ascii="DengXian" w:hAnsi="DengXian" w:eastAsia="DengXian" w:cs="Times New Roman"/>
          <w:sz w:val="22"/>
        </w:rPr>
      </w:pPr>
    </w:p>
    <w:p>
      <w:pPr>
        <w:pStyle w:val="8"/>
        <w:numPr>
          <w:ilvl w:val="0"/>
          <w:numId w:val="1"/>
        </w:numPr>
        <w:spacing w:line="276" w:lineRule="auto"/>
        <w:ind w:firstLineChars="0"/>
        <w:rPr>
          <w:rFonts w:ascii="DengXian" w:hAnsi="DengXian" w:eastAsia="DengXian" w:cs="Times New Roman"/>
          <w:sz w:val="22"/>
        </w:rPr>
      </w:pPr>
      <w:r>
        <w:rPr>
          <w:rFonts w:ascii="DengXian" w:hAnsi="DengXian" w:eastAsia="DengXian" w:cs="Times New Roman"/>
          <w:sz w:val="22"/>
        </w:rPr>
        <w:t>圣路易斯大学简介</w:t>
      </w:r>
    </w:p>
    <w:p>
      <w:pPr>
        <w:pStyle w:val="8"/>
        <w:ind w:left="420" w:firstLine="0" w:firstLineChars="0"/>
        <w:rPr>
          <w:rFonts w:ascii="DengXian" w:hAnsi="DengXian" w:eastAsia="DengXian" w:cs="Times New Roman"/>
          <w:sz w:val="22"/>
        </w:rPr>
      </w:pPr>
      <w:r>
        <w:rPr>
          <w:rFonts w:ascii="DengXian" w:hAnsi="DengXian" w:eastAsia="DengXian" w:cs="Times New Roman"/>
          <w:sz w:val="22"/>
        </w:rPr>
        <w:t>圣路易斯大学成立于 1818 年，作为密西西比河西岸的第一所大学，是美国历史最悠久、最负盛名的大学之一，也是</w:t>
      </w:r>
      <w:r>
        <w:rPr>
          <w:rFonts w:ascii="DengXian" w:hAnsi="DengXian" w:eastAsia="DengXian" w:cs="Times New Roman"/>
          <w:b/>
          <w:bCs/>
          <w:sz w:val="22"/>
        </w:rPr>
        <w:t>中国教育部首批认可</w:t>
      </w:r>
      <w:r>
        <w:rPr>
          <w:rFonts w:ascii="DengXian" w:hAnsi="DengXian" w:eastAsia="DengXian" w:cs="Times New Roman"/>
          <w:sz w:val="22"/>
        </w:rPr>
        <w:t>的国外院校。</w:t>
      </w:r>
    </w:p>
    <w:p>
      <w:pPr>
        <w:pStyle w:val="8"/>
        <w:spacing w:line="276" w:lineRule="auto"/>
        <w:ind w:left="420" w:firstLine="0" w:firstLineChars="0"/>
        <w:rPr>
          <w:rFonts w:ascii="DengXian" w:hAnsi="DengXian" w:eastAsia="DengXian" w:cs="Times New Roman"/>
          <w:sz w:val="22"/>
        </w:rPr>
      </w:pPr>
    </w:p>
    <w:p>
      <w:pPr>
        <w:ind w:left="420"/>
        <w:rPr>
          <w:rFonts w:ascii="DengXian" w:hAnsi="DengXian" w:eastAsia="DengXian" w:cs="Times New Roman"/>
          <w:sz w:val="22"/>
        </w:rPr>
      </w:pPr>
      <w:r>
        <w:rPr>
          <w:rFonts w:ascii="DengXian" w:hAnsi="DengXian" w:eastAsia="DengXian" w:cs="Times New Roman"/>
          <w:sz w:val="22"/>
        </w:rPr>
        <w:t>圣路易斯大学开设了97 个本科专业、82个硕士专业和 44个博士专业，分布在12个学院和一个牙科教育中心，并且在西班牙建立了马德里校区。目前在校学生数</w:t>
      </w:r>
      <w:r>
        <w:rPr>
          <w:rFonts w:hint="eastAsia" w:ascii="DengXian" w:hAnsi="DengXian" w:eastAsia="DengXian" w:cs="Times New Roman"/>
          <w:sz w:val="22"/>
        </w:rPr>
        <w:t>达</w:t>
      </w:r>
      <w:r>
        <w:rPr>
          <w:rFonts w:ascii="DengXian" w:hAnsi="DengXian" w:eastAsia="DengXian" w:cs="Times New Roman"/>
          <w:sz w:val="22"/>
        </w:rPr>
        <w:t>13,546 人，其中本科生</w:t>
      </w:r>
      <w:r>
        <w:rPr>
          <w:rFonts w:hint="eastAsia" w:ascii="DengXian" w:hAnsi="DengXian" w:eastAsia="DengXian" w:cs="Times New Roman"/>
          <w:sz w:val="22"/>
        </w:rPr>
        <w:t>为</w:t>
      </w:r>
      <w:r>
        <w:rPr>
          <w:rFonts w:ascii="DengXian" w:hAnsi="DengXian" w:eastAsia="DengXian" w:cs="Times New Roman"/>
          <w:sz w:val="22"/>
        </w:rPr>
        <w:t xml:space="preserve"> 8,041 人，硕士博士生</w:t>
      </w:r>
      <w:r>
        <w:rPr>
          <w:rFonts w:hint="eastAsia" w:ascii="DengXian" w:hAnsi="DengXian" w:eastAsia="DengXian" w:cs="Times New Roman"/>
          <w:sz w:val="22"/>
        </w:rPr>
        <w:t>为</w:t>
      </w:r>
      <w:r>
        <w:rPr>
          <w:rFonts w:ascii="DengXian" w:hAnsi="DengXian" w:eastAsia="DengXian" w:cs="Times New Roman"/>
          <w:sz w:val="22"/>
        </w:rPr>
        <w:t xml:space="preserve"> 5,109 人。圣路易斯大学 90%的学生来自美国50个州，还有约10%的国际学生来自美国以外。</w:t>
      </w:r>
    </w:p>
    <w:p>
      <w:pPr>
        <w:pStyle w:val="8"/>
        <w:spacing w:line="276" w:lineRule="auto"/>
        <w:ind w:left="420" w:firstLine="0" w:firstLineChars="0"/>
        <w:rPr>
          <w:rFonts w:ascii="DengXian" w:hAnsi="DengXian" w:eastAsia="DengXian" w:cs="Times New Roman"/>
          <w:sz w:val="22"/>
        </w:rPr>
      </w:pPr>
      <w:r>
        <w:rPr>
          <w:rFonts w:ascii="DengXian" w:hAnsi="DengXian" w:eastAsia="DengXian" w:cs="Times New Roman"/>
          <w:sz w:val="22"/>
        </w:rPr>
        <w:tab/>
      </w:r>
    </w:p>
    <w:p>
      <w:pPr>
        <w:pStyle w:val="8"/>
        <w:numPr>
          <w:ilvl w:val="0"/>
          <w:numId w:val="2"/>
        </w:numPr>
        <w:ind w:firstLineChars="0"/>
        <w:rPr>
          <w:rFonts w:ascii="DengXian" w:hAnsi="DengXian" w:eastAsia="DengXian" w:cs="Times New Roman"/>
          <w:b/>
          <w:bCs/>
          <w:sz w:val="22"/>
        </w:rPr>
      </w:pPr>
      <w:r>
        <w:rPr>
          <w:rFonts w:ascii="DengXian" w:hAnsi="DengXian" w:eastAsia="DengXian" w:cs="Times New Roman"/>
          <w:b/>
          <w:bCs/>
          <w:sz w:val="22"/>
        </w:rPr>
        <w:t>No. 2</w:t>
      </w:r>
      <w:r>
        <w:rPr>
          <w:rFonts w:ascii="DengXian" w:hAnsi="DengXian" w:eastAsia="DengXian" w:cs="Times New Roman"/>
          <w:b/>
          <w:bCs/>
          <w:sz w:val="22"/>
        </w:rPr>
        <w:tab/>
      </w:r>
      <w:r>
        <w:rPr>
          <w:rFonts w:ascii="DengXian" w:hAnsi="DengXian" w:eastAsia="DengXian" w:cs="Times New Roman"/>
          <w:b/>
          <w:bCs/>
          <w:sz w:val="22"/>
        </w:rPr>
        <w:t xml:space="preserve">    </w:t>
      </w:r>
      <w:r>
        <w:rPr>
          <w:rFonts w:ascii="DengXian" w:hAnsi="DengXian" w:eastAsia="DengXian" w:cs="Times New Roman"/>
          <w:sz w:val="22"/>
        </w:rPr>
        <w:t>密苏里州最佳学院排名第2</w:t>
      </w:r>
    </w:p>
    <w:p>
      <w:pPr>
        <w:pStyle w:val="8"/>
        <w:numPr>
          <w:ilvl w:val="0"/>
          <w:numId w:val="2"/>
        </w:numPr>
        <w:ind w:firstLineChars="0"/>
        <w:rPr>
          <w:rFonts w:ascii="DengXian" w:hAnsi="DengXian" w:eastAsia="DengXian" w:cs="Times New Roman"/>
          <w:b/>
          <w:bCs/>
          <w:sz w:val="22"/>
        </w:rPr>
      </w:pPr>
      <w:r>
        <w:rPr>
          <w:rFonts w:ascii="DengXian" w:hAnsi="DengXian" w:eastAsia="DengXian" w:cs="Times New Roman"/>
          <w:b/>
          <w:bCs/>
          <w:sz w:val="22"/>
        </w:rPr>
        <w:t xml:space="preserve">No. 3 </w:t>
      </w:r>
      <w:r>
        <w:rPr>
          <w:rFonts w:ascii="DengXian" w:hAnsi="DengXian" w:eastAsia="DengXian" w:cs="Times New Roman"/>
          <w:b/>
          <w:bCs/>
          <w:sz w:val="22"/>
        </w:rPr>
        <w:tab/>
      </w:r>
      <w:r>
        <w:rPr>
          <w:rFonts w:ascii="DengXian" w:hAnsi="DengXian" w:eastAsia="DengXian" w:cs="Times New Roman"/>
          <w:sz w:val="22"/>
        </w:rPr>
        <w:t xml:space="preserve">全美大学社区服务参与度排名第 3 </w:t>
      </w:r>
    </w:p>
    <w:p>
      <w:pPr>
        <w:ind w:left="1260" w:firstLine="420"/>
        <w:rPr>
          <w:rFonts w:ascii="DengXian" w:hAnsi="DengXian" w:eastAsia="DengXian" w:cs="Times New Roman"/>
          <w:b/>
          <w:bCs/>
          <w:sz w:val="22"/>
        </w:rPr>
      </w:pPr>
      <w:r>
        <w:rPr>
          <w:rFonts w:ascii="DengXian" w:hAnsi="DengXian" w:eastAsia="DengXian" w:cs="Times New Roman"/>
          <w:sz w:val="22"/>
        </w:rPr>
        <w:t>《普林斯顿评论》2023</w:t>
      </w:r>
    </w:p>
    <w:p>
      <w:pPr>
        <w:pStyle w:val="8"/>
        <w:numPr>
          <w:ilvl w:val="0"/>
          <w:numId w:val="2"/>
        </w:numPr>
        <w:ind w:firstLineChars="0"/>
        <w:rPr>
          <w:rFonts w:ascii="DengXian" w:hAnsi="DengXian" w:eastAsia="DengXian" w:cs="Times New Roman"/>
          <w:b/>
          <w:bCs/>
          <w:sz w:val="22"/>
        </w:rPr>
      </w:pPr>
      <w:r>
        <w:rPr>
          <w:rFonts w:ascii="DengXian" w:hAnsi="DengXian" w:eastAsia="DengXian" w:cs="Times New Roman"/>
          <w:b/>
          <w:bCs/>
          <w:sz w:val="22"/>
        </w:rPr>
        <w:t xml:space="preserve">No. 9 </w:t>
      </w:r>
      <w:r>
        <w:rPr>
          <w:rFonts w:ascii="DengXian" w:hAnsi="DengXian" w:eastAsia="DengXian" w:cs="Times New Roman"/>
          <w:b/>
          <w:bCs/>
          <w:sz w:val="22"/>
        </w:rPr>
        <w:tab/>
      </w:r>
      <w:r>
        <w:rPr>
          <w:rFonts w:ascii="DengXian" w:hAnsi="DengXian" w:eastAsia="DengXian" w:cs="Times New Roman"/>
          <w:sz w:val="22"/>
        </w:rPr>
        <w:t xml:space="preserve">全美私立学校中最佳影响力排名第 9 </w:t>
      </w:r>
    </w:p>
    <w:p>
      <w:pPr>
        <w:ind w:left="1260" w:firstLine="420"/>
        <w:rPr>
          <w:rFonts w:ascii="DengXian" w:hAnsi="DengXian" w:eastAsia="DengXian" w:cs="Times New Roman"/>
          <w:sz w:val="22"/>
        </w:rPr>
      </w:pPr>
      <w:r>
        <w:rPr>
          <w:rFonts w:ascii="DengXian" w:hAnsi="DengXian" w:eastAsia="DengXian" w:cs="Times New Roman"/>
          <w:sz w:val="22"/>
        </w:rPr>
        <w:t>《普林斯顿评论》2023</w:t>
      </w:r>
    </w:p>
    <w:p>
      <w:pPr>
        <w:pStyle w:val="8"/>
        <w:numPr>
          <w:ilvl w:val="0"/>
          <w:numId w:val="2"/>
        </w:numPr>
        <w:ind w:firstLineChars="0"/>
        <w:rPr>
          <w:rFonts w:ascii="DengXian" w:hAnsi="DengXian" w:eastAsia="DengXian" w:cs="Times New Roman"/>
          <w:b/>
          <w:bCs/>
          <w:sz w:val="22"/>
        </w:rPr>
      </w:pPr>
      <w:r>
        <w:rPr>
          <w:rFonts w:ascii="DengXian" w:hAnsi="DengXian" w:eastAsia="DengXian" w:cs="Times New Roman"/>
          <w:b/>
          <w:bCs/>
          <w:sz w:val="22"/>
        </w:rPr>
        <w:t>No. 12</w:t>
      </w:r>
      <w:r>
        <w:rPr>
          <w:rFonts w:ascii="DengXian" w:hAnsi="DengXian" w:eastAsia="DengXian" w:cs="Times New Roman"/>
          <w:b/>
          <w:bCs/>
          <w:sz w:val="22"/>
        </w:rPr>
        <w:tab/>
      </w:r>
      <w:r>
        <w:rPr>
          <w:rFonts w:ascii="DengXian" w:hAnsi="DengXian" w:eastAsia="DengXian" w:cs="Times New Roman"/>
          <w:sz w:val="22"/>
        </w:rPr>
        <w:t>“绿色能源合作伙伴“学院第12</w:t>
      </w:r>
    </w:p>
    <w:p>
      <w:pPr>
        <w:ind w:left="1680"/>
        <w:rPr>
          <w:rFonts w:ascii="DengXian" w:hAnsi="DengXian" w:eastAsia="DengXian" w:cs="Times New Roman"/>
          <w:sz w:val="22"/>
        </w:rPr>
      </w:pPr>
      <w:r>
        <w:rPr>
          <w:rFonts w:hint="eastAsia" w:ascii="DengXian" w:hAnsi="DengXian" w:eastAsia="DengXian" w:cs="Times New Roman"/>
          <w:sz w:val="22"/>
        </w:rPr>
        <w:t>《</w:t>
      </w:r>
      <w:r>
        <w:rPr>
          <w:rFonts w:ascii="DengXian" w:hAnsi="DengXian" w:eastAsia="DengXian" w:cs="Times New Roman"/>
          <w:sz w:val="22"/>
        </w:rPr>
        <w:t>美国环境保护署</w:t>
      </w:r>
      <w:r>
        <w:rPr>
          <w:rFonts w:hint="eastAsia" w:ascii="DengXian" w:hAnsi="DengXian" w:eastAsia="DengXian" w:cs="Times New Roman"/>
          <w:sz w:val="22"/>
        </w:rPr>
        <w:t>》</w:t>
      </w:r>
    </w:p>
    <w:p>
      <w:pPr>
        <w:pStyle w:val="8"/>
        <w:numPr>
          <w:ilvl w:val="0"/>
          <w:numId w:val="2"/>
        </w:numPr>
        <w:ind w:firstLineChars="0"/>
        <w:rPr>
          <w:rFonts w:ascii="DengXian" w:hAnsi="DengXian" w:eastAsia="DengXian" w:cs="Times New Roman"/>
          <w:b/>
          <w:bCs/>
          <w:sz w:val="22"/>
        </w:rPr>
      </w:pPr>
      <w:r>
        <w:rPr>
          <w:rFonts w:ascii="DengXian" w:hAnsi="DengXian" w:eastAsia="DengXian" w:cs="Times New Roman"/>
          <w:b/>
          <w:bCs/>
          <w:sz w:val="22"/>
        </w:rPr>
        <w:t xml:space="preserve">No. 21 </w:t>
      </w:r>
      <w:r>
        <w:rPr>
          <w:rFonts w:ascii="DengXian" w:hAnsi="DengXian" w:eastAsia="DengXian" w:cs="Times New Roman"/>
          <w:b/>
          <w:bCs/>
          <w:sz w:val="22"/>
        </w:rPr>
        <w:tab/>
      </w:r>
      <w:r>
        <w:rPr>
          <w:rFonts w:ascii="DengXian" w:hAnsi="DengXian" w:eastAsia="DengXian" w:cs="Times New Roman"/>
          <w:sz w:val="22"/>
        </w:rPr>
        <w:t>学生支持与咨询服务排名第 21</w:t>
      </w:r>
    </w:p>
    <w:p>
      <w:pPr>
        <w:pStyle w:val="8"/>
        <w:numPr>
          <w:ilvl w:val="0"/>
          <w:numId w:val="2"/>
        </w:numPr>
        <w:ind w:firstLineChars="0"/>
        <w:rPr>
          <w:rFonts w:ascii="DengXian" w:hAnsi="DengXian" w:eastAsia="DengXian" w:cs="Times New Roman"/>
          <w:b/>
          <w:bCs/>
          <w:sz w:val="22"/>
        </w:rPr>
      </w:pPr>
      <w:r>
        <w:rPr>
          <w:rFonts w:ascii="DengXian" w:hAnsi="DengXian" w:eastAsia="DengXian" w:cs="Times New Roman"/>
          <w:b/>
          <w:bCs/>
          <w:sz w:val="22"/>
        </w:rPr>
        <w:t>No. 52</w:t>
      </w:r>
      <w:r>
        <w:rPr>
          <w:rFonts w:ascii="DengXian" w:hAnsi="DengXian" w:eastAsia="DengXian" w:cs="Times New Roman"/>
          <w:b/>
          <w:bCs/>
          <w:sz w:val="22"/>
        </w:rPr>
        <w:tab/>
      </w:r>
      <w:r>
        <w:rPr>
          <w:rFonts w:ascii="DengXian" w:hAnsi="DengXian" w:eastAsia="DengXian" w:cs="Times New Roman"/>
          <w:sz w:val="22"/>
        </w:rPr>
        <w:t>最佳价值学校全美排名第52</w:t>
      </w:r>
    </w:p>
    <w:p>
      <w:pPr>
        <w:pStyle w:val="8"/>
        <w:numPr>
          <w:ilvl w:val="0"/>
          <w:numId w:val="2"/>
        </w:numPr>
        <w:ind w:firstLineChars="0"/>
        <w:rPr>
          <w:rFonts w:ascii="DengXian" w:hAnsi="DengXian" w:eastAsia="DengXian" w:cs="Times New Roman"/>
          <w:b/>
          <w:bCs/>
          <w:sz w:val="22"/>
        </w:rPr>
      </w:pPr>
      <w:r>
        <w:rPr>
          <w:rFonts w:ascii="DengXian" w:hAnsi="DengXian" w:eastAsia="DengXian" w:cs="Times New Roman"/>
          <w:b/>
          <w:bCs/>
          <w:sz w:val="22"/>
        </w:rPr>
        <w:t>No. 105</w:t>
      </w:r>
      <w:r>
        <w:rPr>
          <w:rFonts w:ascii="DengXian" w:hAnsi="DengXian" w:eastAsia="DengXian" w:cs="Times New Roman"/>
          <w:b/>
          <w:bCs/>
          <w:sz w:val="22"/>
        </w:rPr>
        <w:tab/>
      </w:r>
      <w:r>
        <w:rPr>
          <w:rFonts w:ascii="DengXian" w:hAnsi="DengXian" w:eastAsia="DengXian" w:cs="Times New Roman"/>
          <w:sz w:val="22"/>
        </w:rPr>
        <w:t>全美大学排名第105</w:t>
      </w:r>
    </w:p>
    <w:p>
      <w:pPr>
        <w:spacing w:line="276" w:lineRule="auto"/>
        <w:rPr>
          <w:rFonts w:ascii="DengXian" w:hAnsi="DengXian" w:eastAsia="DengXian" w:cs="Times New Roman"/>
          <w:sz w:val="22"/>
        </w:rPr>
      </w:pPr>
    </w:p>
    <w:p>
      <w:pPr>
        <w:pStyle w:val="8"/>
        <w:numPr>
          <w:ilvl w:val="0"/>
          <w:numId w:val="1"/>
        </w:numPr>
        <w:spacing w:line="276" w:lineRule="auto"/>
        <w:ind w:firstLineChars="0"/>
        <w:rPr>
          <w:rFonts w:ascii="DengXian" w:hAnsi="DengXian" w:eastAsia="DengXian" w:cs="Times New Roman"/>
          <w:sz w:val="22"/>
        </w:rPr>
      </w:pPr>
      <w:r>
        <w:rPr>
          <w:rFonts w:ascii="DengXian" w:hAnsi="DengXian" w:eastAsia="DengXian" w:cs="Times New Roman"/>
          <w:sz w:val="22"/>
        </w:rPr>
        <w:t>项目特点</w:t>
      </w:r>
    </w:p>
    <w:p>
      <w:pPr>
        <w:pStyle w:val="8"/>
        <w:spacing w:line="276" w:lineRule="auto"/>
        <w:ind w:left="420" w:firstLine="0" w:firstLineChars="0"/>
        <w:rPr>
          <w:rFonts w:ascii="DengXian" w:hAnsi="DengXian" w:eastAsia="DengXian" w:cs="Times New Roman"/>
          <w:b/>
          <w:sz w:val="22"/>
        </w:rPr>
      </w:pPr>
      <w:r>
        <w:rPr>
          <w:rFonts w:ascii="DengXian" w:hAnsi="DengXian" w:eastAsia="DengXian" w:cs="Times New Roman"/>
          <w:b/>
          <w:sz w:val="22"/>
        </w:rPr>
        <w:t>千门课程，自由选择</w:t>
      </w:r>
    </w:p>
    <w:p>
      <w:pPr>
        <w:pStyle w:val="8"/>
        <w:spacing w:line="276" w:lineRule="auto"/>
        <w:ind w:left="420" w:firstLine="0" w:firstLineChars="0"/>
        <w:rPr>
          <w:rFonts w:ascii="DengXian" w:hAnsi="DengXian" w:eastAsia="DengXian" w:cs="Times New Roman"/>
          <w:sz w:val="22"/>
        </w:rPr>
      </w:pPr>
      <w:r>
        <w:rPr>
          <w:rFonts w:ascii="DengXian" w:hAnsi="DengXian" w:eastAsia="DengXian" w:cs="Times New Roman"/>
          <w:sz w:val="22"/>
        </w:rPr>
        <w:t>访问生将在圣路易斯大学美国校本部或西班牙马德里校区学习</w:t>
      </w:r>
      <w:r>
        <w:rPr>
          <w:rFonts w:ascii="DengXian" w:hAnsi="DengXian" w:eastAsia="DengXian" w:cs="Times New Roman"/>
          <w:b/>
          <w:bCs/>
          <w:sz w:val="22"/>
        </w:rPr>
        <w:t>12个学分或24个学分</w:t>
      </w:r>
      <w:r>
        <w:rPr>
          <w:rFonts w:ascii="DengXian" w:hAnsi="DengXian" w:eastAsia="DengXian" w:cs="Times New Roman"/>
          <w:sz w:val="22"/>
        </w:rPr>
        <w:t>的</w:t>
      </w:r>
      <w:r>
        <w:rPr>
          <w:rFonts w:hint="eastAsia" w:ascii="DengXian" w:hAnsi="DengXian" w:eastAsia="DengXian" w:cs="Times New Roman"/>
          <w:sz w:val="22"/>
        </w:rPr>
        <w:t>本科生</w:t>
      </w:r>
      <w:r>
        <w:rPr>
          <w:rFonts w:ascii="DengXian" w:hAnsi="DengXian" w:eastAsia="DengXian" w:cs="Times New Roman"/>
          <w:sz w:val="22"/>
        </w:rPr>
        <w:t>课程，并拿到圣路易斯大学出具的成绩单。圣路易斯大学</w:t>
      </w:r>
      <w:r>
        <w:rPr>
          <w:rFonts w:hint="eastAsia" w:ascii="DengXian" w:hAnsi="DengXian" w:eastAsia="DengXian" w:cs="Times New Roman"/>
          <w:sz w:val="22"/>
        </w:rPr>
        <w:t>的</w:t>
      </w:r>
      <w:r>
        <w:rPr>
          <w:rFonts w:ascii="DengXian" w:hAnsi="DengXian" w:eastAsia="DengXian" w:cs="Times New Roman"/>
          <w:sz w:val="22"/>
        </w:rPr>
        <w:t>专业涉及人文、历史、艺术、商科、自然科学、工程学、教育、体育等多个领域，访问生可根据自身</w:t>
      </w:r>
      <w:r>
        <w:rPr>
          <w:rFonts w:ascii="DengXian" w:hAnsi="DengXian" w:eastAsia="DengXian" w:cs="Times New Roman"/>
          <w:b/>
          <w:bCs/>
          <w:sz w:val="22"/>
        </w:rPr>
        <w:t>专业</w:t>
      </w:r>
      <w:r>
        <w:rPr>
          <w:rFonts w:ascii="DengXian" w:hAnsi="DengXian" w:eastAsia="DengXian" w:cs="Times New Roman"/>
          <w:bCs/>
          <w:sz w:val="22"/>
        </w:rPr>
        <w:t>和</w:t>
      </w:r>
      <w:r>
        <w:rPr>
          <w:rFonts w:ascii="DengXian" w:hAnsi="DengXian" w:eastAsia="DengXian" w:cs="Times New Roman"/>
          <w:b/>
          <w:bCs/>
          <w:sz w:val="22"/>
        </w:rPr>
        <w:t>兴趣</w:t>
      </w:r>
      <w:r>
        <w:rPr>
          <w:rFonts w:ascii="DengXian" w:hAnsi="DengXian" w:eastAsia="DengXian" w:cs="Times New Roman"/>
          <w:sz w:val="22"/>
        </w:rPr>
        <w:t>进行</w:t>
      </w:r>
      <w:r>
        <w:rPr>
          <w:rFonts w:ascii="DengXian" w:hAnsi="DengXian" w:eastAsia="DengXian" w:cs="Times New Roman"/>
          <w:b/>
          <w:bCs/>
          <w:sz w:val="22"/>
        </w:rPr>
        <w:t>自由选课</w:t>
      </w:r>
      <w:r>
        <w:rPr>
          <w:rFonts w:ascii="DengXian" w:hAnsi="DengXian" w:eastAsia="DengXian" w:cs="Times New Roman"/>
          <w:sz w:val="22"/>
        </w:rPr>
        <w:t>。</w:t>
      </w:r>
    </w:p>
    <w:p>
      <w:pPr>
        <w:pStyle w:val="8"/>
        <w:spacing w:line="276" w:lineRule="auto"/>
        <w:ind w:left="420" w:firstLine="0" w:firstLineChars="0"/>
        <w:rPr>
          <w:rFonts w:ascii="DengXian" w:hAnsi="DengXian" w:eastAsia="DengXian" w:cs="Times New Roman"/>
          <w:sz w:val="22"/>
        </w:rPr>
      </w:pPr>
    </w:p>
    <w:p>
      <w:pPr>
        <w:pStyle w:val="8"/>
        <w:spacing w:line="276" w:lineRule="auto"/>
        <w:ind w:left="420" w:firstLine="0" w:firstLineChars="0"/>
        <w:rPr>
          <w:rFonts w:ascii="DengXian" w:hAnsi="DengXian" w:eastAsia="DengXian" w:cs="Times New Roman"/>
          <w:b/>
          <w:sz w:val="22"/>
        </w:rPr>
      </w:pPr>
      <w:r>
        <w:rPr>
          <w:rFonts w:ascii="DengXian" w:hAnsi="DengXian" w:eastAsia="DengXian" w:cs="Times New Roman"/>
          <w:b/>
          <w:sz w:val="22"/>
        </w:rPr>
        <w:t>时间灵活，地点可选</w:t>
      </w:r>
    </w:p>
    <w:p>
      <w:pPr>
        <w:pStyle w:val="8"/>
        <w:spacing w:line="276" w:lineRule="auto"/>
        <w:ind w:left="420" w:firstLine="0" w:firstLineChars="0"/>
        <w:rPr>
          <w:rFonts w:ascii="DengXian" w:hAnsi="DengXian" w:eastAsia="DengXian" w:cs="Times New Roman"/>
          <w:sz w:val="22"/>
        </w:rPr>
      </w:pPr>
      <w:r>
        <w:rPr>
          <w:rFonts w:hint="eastAsia" w:ascii="DengXian" w:hAnsi="DengXian" w:eastAsia="DengXian" w:cs="Times New Roman"/>
          <w:sz w:val="22"/>
        </w:rPr>
        <w:t>访问生</w:t>
      </w:r>
      <w:r>
        <w:rPr>
          <w:rFonts w:ascii="DengXian" w:hAnsi="DengXian" w:eastAsia="DengXian" w:cs="Times New Roman"/>
          <w:sz w:val="22"/>
        </w:rPr>
        <w:t>可以选择一个学期或者一个学年的时间，一个学期可选</w:t>
      </w:r>
      <w:r>
        <w:rPr>
          <w:rFonts w:hint="eastAsia" w:ascii="DengXian" w:hAnsi="DengXian" w:eastAsia="DengXian" w:cs="Times New Roman"/>
          <w:sz w:val="22"/>
        </w:rPr>
        <w:t>秋季</w:t>
      </w:r>
      <w:r>
        <w:rPr>
          <w:rFonts w:ascii="DengXian" w:hAnsi="DengXian" w:eastAsia="DengXian" w:cs="Times New Roman"/>
          <w:sz w:val="22"/>
        </w:rPr>
        <w:t>2024年8月-12月，</w:t>
      </w:r>
      <w:r>
        <w:rPr>
          <w:rFonts w:hint="eastAsia" w:ascii="DengXian" w:hAnsi="DengXian" w:eastAsia="DengXian" w:cs="Times New Roman"/>
          <w:sz w:val="22"/>
        </w:rPr>
        <w:t>或春</w:t>
      </w:r>
      <w:r>
        <w:rPr>
          <w:rFonts w:ascii="DengXian" w:hAnsi="DengXian" w:eastAsia="DengXian" w:cs="Times New Roman"/>
          <w:sz w:val="22"/>
        </w:rPr>
        <w:t>季</w:t>
      </w:r>
      <w:r>
        <w:rPr>
          <w:rFonts w:hint="eastAsia" w:ascii="DengXian" w:hAnsi="DengXian" w:eastAsia="DengXian" w:cs="Times New Roman"/>
          <w:sz w:val="22"/>
        </w:rPr>
        <w:t>2</w:t>
      </w:r>
      <w:r>
        <w:rPr>
          <w:rFonts w:ascii="DengXian" w:hAnsi="DengXian" w:eastAsia="DengXian" w:cs="Times New Roman"/>
          <w:sz w:val="22"/>
        </w:rPr>
        <w:t>025</w:t>
      </w:r>
      <w:r>
        <w:rPr>
          <w:rFonts w:hint="eastAsia" w:ascii="DengXian" w:hAnsi="DengXian" w:eastAsia="DengXian" w:cs="Times New Roman"/>
          <w:sz w:val="22"/>
        </w:rPr>
        <w:t>年1月-5月。</w:t>
      </w:r>
      <w:r>
        <w:rPr>
          <w:rFonts w:ascii="DengXian" w:hAnsi="DengXian" w:eastAsia="DengXian" w:cs="Times New Roman"/>
          <w:sz w:val="22"/>
        </w:rPr>
        <w:t>一个学年则是秋季入学，从2024年8月-12月（秋季学期）到2025年1月- 5月（春季学期）。</w:t>
      </w:r>
    </w:p>
    <w:p>
      <w:pPr>
        <w:pStyle w:val="8"/>
        <w:spacing w:line="276" w:lineRule="auto"/>
        <w:ind w:left="420" w:firstLine="0" w:firstLineChars="0"/>
        <w:rPr>
          <w:rFonts w:ascii="DengXian" w:hAnsi="DengXian" w:eastAsia="DengXian" w:cs="Times New Roman"/>
          <w:sz w:val="22"/>
        </w:rPr>
      </w:pPr>
      <w:r>
        <w:rPr>
          <w:rFonts w:ascii="DengXian" w:hAnsi="DengXian" w:eastAsia="DengXian" w:cs="Times New Roman"/>
          <w:sz w:val="22"/>
        </w:rPr>
        <w:t>可以选择圣路易斯大学美国密苏里州圣路易斯市的校本部，也可以选择圣路易斯大学在西班牙的马德里校区，横跨两大洲，体验不同</w:t>
      </w:r>
      <w:r>
        <w:rPr>
          <w:rFonts w:hint="eastAsia" w:ascii="DengXian" w:hAnsi="DengXian" w:eastAsia="DengXian" w:cs="Times New Roman"/>
          <w:sz w:val="22"/>
        </w:rPr>
        <w:t>的</w:t>
      </w:r>
      <w:r>
        <w:rPr>
          <w:rFonts w:ascii="DengXian" w:hAnsi="DengXian" w:eastAsia="DengXian" w:cs="Times New Roman"/>
          <w:sz w:val="22"/>
        </w:rPr>
        <w:t>风土人情，尤其是西班牙校区还独享了申根签证的优势，可以在欧洲26个国家畅</w:t>
      </w:r>
      <w:r>
        <w:rPr>
          <w:rFonts w:hint="eastAsia" w:ascii="DengXian" w:hAnsi="DengXian" w:eastAsia="DengXian" w:cs="Times New Roman"/>
          <w:sz w:val="22"/>
        </w:rPr>
        <w:t>行</w:t>
      </w:r>
      <w:r>
        <w:rPr>
          <w:rFonts w:ascii="DengXian" w:hAnsi="DengXian" w:eastAsia="DengXian" w:cs="Times New Roman"/>
          <w:sz w:val="22"/>
        </w:rPr>
        <w:t>无阻。</w:t>
      </w:r>
    </w:p>
    <w:p>
      <w:pPr>
        <w:pStyle w:val="8"/>
        <w:spacing w:line="276" w:lineRule="auto"/>
        <w:ind w:left="420" w:firstLine="0" w:firstLineChars="0"/>
        <w:rPr>
          <w:rFonts w:ascii="DengXian" w:hAnsi="DengXian" w:eastAsia="DengXian" w:cs="Times New Roman"/>
          <w:sz w:val="22"/>
        </w:rPr>
      </w:pPr>
    </w:p>
    <w:p>
      <w:pPr>
        <w:pStyle w:val="8"/>
        <w:spacing w:line="276" w:lineRule="auto"/>
        <w:ind w:left="420" w:firstLine="0" w:firstLineChars="0"/>
        <w:rPr>
          <w:rFonts w:ascii="DengXian" w:hAnsi="DengXian" w:eastAsia="DengXian" w:cs="Times New Roman"/>
          <w:b/>
          <w:sz w:val="22"/>
        </w:rPr>
      </w:pPr>
      <w:r>
        <w:rPr>
          <w:rFonts w:ascii="DengXian" w:hAnsi="DengXian" w:eastAsia="DengXian" w:cs="Times New Roman"/>
          <w:b/>
          <w:sz w:val="22"/>
        </w:rPr>
        <w:t>自我提升</w:t>
      </w:r>
    </w:p>
    <w:p>
      <w:pPr>
        <w:pStyle w:val="8"/>
        <w:spacing w:line="276" w:lineRule="auto"/>
        <w:ind w:left="420" w:firstLine="0" w:firstLineChars="0"/>
        <w:rPr>
          <w:rFonts w:ascii="DengXian" w:hAnsi="DengXian" w:eastAsia="DengXian" w:cs="Times New Roman"/>
          <w:sz w:val="22"/>
        </w:rPr>
      </w:pPr>
      <w:r>
        <w:rPr>
          <w:rFonts w:ascii="DengXian" w:hAnsi="DengXian" w:eastAsia="DengXian" w:cs="Times New Roman"/>
          <w:sz w:val="22"/>
        </w:rPr>
        <w:t>访问生在巩固本专业知识的同时，也可以选择跨学科课程，</w:t>
      </w:r>
      <w:r>
        <w:rPr>
          <w:rFonts w:hint="eastAsia" w:ascii="DengXian" w:hAnsi="DengXian" w:eastAsia="DengXian" w:cs="Times New Roman"/>
          <w:sz w:val="22"/>
        </w:rPr>
        <w:t>开拓</w:t>
      </w:r>
      <w:r>
        <w:rPr>
          <w:rFonts w:ascii="DengXian" w:hAnsi="DengXian" w:eastAsia="DengXian" w:cs="Times New Roman"/>
          <w:sz w:val="22"/>
        </w:rPr>
        <w:t>眼界，</w:t>
      </w:r>
      <w:r>
        <w:rPr>
          <w:rFonts w:hint="eastAsia" w:ascii="DengXian" w:hAnsi="DengXian" w:eastAsia="DengXian" w:cs="Times New Roman"/>
          <w:sz w:val="22"/>
        </w:rPr>
        <w:t>激发</w:t>
      </w:r>
      <w:r>
        <w:rPr>
          <w:rFonts w:ascii="DengXian" w:hAnsi="DengXian" w:eastAsia="DengXian" w:cs="Times New Roman"/>
          <w:sz w:val="22"/>
        </w:rPr>
        <w:t>兴趣。除此之外，海外学习的背景不仅能</w:t>
      </w:r>
      <w:r>
        <w:rPr>
          <w:rFonts w:hint="eastAsia" w:ascii="DengXian" w:hAnsi="DengXian" w:eastAsia="DengXian" w:cs="Times New Roman"/>
          <w:sz w:val="22"/>
        </w:rPr>
        <w:t>够</w:t>
      </w:r>
      <w:r>
        <w:rPr>
          <w:rFonts w:ascii="DengXian" w:hAnsi="DengXian" w:eastAsia="DengXian" w:cs="Times New Roman"/>
          <w:sz w:val="22"/>
        </w:rPr>
        <w:t>提升简历，还</w:t>
      </w:r>
      <w:r>
        <w:rPr>
          <w:rFonts w:hint="eastAsia" w:ascii="DengXian" w:hAnsi="DengXian" w:eastAsia="DengXian" w:cs="Times New Roman"/>
          <w:sz w:val="22"/>
        </w:rPr>
        <w:t>可</w:t>
      </w:r>
      <w:r>
        <w:rPr>
          <w:rFonts w:ascii="DengXian" w:hAnsi="DengXian" w:eastAsia="DengXian" w:cs="Times New Roman"/>
          <w:sz w:val="22"/>
        </w:rPr>
        <w:t>为出国深造的申请增色，帮助提前适应国外的生活。</w:t>
      </w:r>
    </w:p>
    <w:p>
      <w:pPr>
        <w:pStyle w:val="8"/>
        <w:spacing w:line="276" w:lineRule="auto"/>
        <w:ind w:left="420" w:firstLine="0" w:firstLineChars="0"/>
        <w:rPr>
          <w:rFonts w:ascii="DengXian" w:hAnsi="DengXian" w:eastAsia="DengXian" w:cs="Times New Roman"/>
          <w:sz w:val="22"/>
        </w:rPr>
      </w:pPr>
    </w:p>
    <w:p>
      <w:pPr>
        <w:pStyle w:val="8"/>
        <w:spacing w:line="276" w:lineRule="auto"/>
        <w:ind w:left="420" w:firstLine="0" w:firstLineChars="0"/>
        <w:rPr>
          <w:rFonts w:ascii="DengXian" w:hAnsi="DengXian" w:eastAsia="DengXian" w:cs="Times New Roman"/>
          <w:b/>
          <w:sz w:val="22"/>
        </w:rPr>
      </w:pPr>
      <w:r>
        <w:rPr>
          <w:rFonts w:ascii="DengXian" w:hAnsi="DengXian" w:eastAsia="DengXian" w:cs="Times New Roman"/>
          <w:b/>
          <w:sz w:val="22"/>
        </w:rPr>
        <w:t>小班精英式教育</w:t>
      </w:r>
    </w:p>
    <w:p>
      <w:pPr>
        <w:pStyle w:val="8"/>
        <w:spacing w:line="276" w:lineRule="auto"/>
        <w:ind w:left="420" w:firstLine="0" w:firstLineChars="0"/>
        <w:rPr>
          <w:rFonts w:ascii="DengXian" w:hAnsi="DengXian" w:eastAsia="DengXian" w:cs="Times New Roman"/>
          <w:sz w:val="22"/>
        </w:rPr>
      </w:pPr>
      <w:r>
        <w:rPr>
          <w:rFonts w:ascii="DengXian" w:hAnsi="DengXian" w:eastAsia="DengXian" w:cs="Times New Roman"/>
          <w:sz w:val="22"/>
        </w:rPr>
        <w:t>圣路易斯大学作为一所私立学校，提倡小班化教学。平均课堂师生比为</w:t>
      </w:r>
      <w:r>
        <w:rPr>
          <w:rFonts w:ascii="DengXian" w:hAnsi="DengXian" w:eastAsia="DengXian" w:cs="Times New Roman"/>
          <w:b/>
          <w:sz w:val="22"/>
        </w:rPr>
        <w:t>1:9</w:t>
      </w:r>
      <w:r>
        <w:rPr>
          <w:rFonts w:ascii="DengXian" w:hAnsi="DengXian" w:eastAsia="DengXian" w:cs="Times New Roman"/>
          <w:sz w:val="22"/>
        </w:rPr>
        <w:t>，以确保教授能够关注到每一位学生，并及时提供帮助。同时，学校对教师的学术水平也有着严格的要求，圣路易斯大学88.5%的全职教学人员拥有各自领域的最高学位。</w:t>
      </w:r>
    </w:p>
    <w:p>
      <w:pPr>
        <w:pStyle w:val="8"/>
        <w:spacing w:line="276" w:lineRule="auto"/>
        <w:ind w:left="420" w:firstLine="0" w:firstLineChars="0"/>
        <w:rPr>
          <w:rFonts w:ascii="DengXian" w:hAnsi="DengXian" w:eastAsia="DengXian" w:cs="Times New Roman"/>
          <w:sz w:val="22"/>
        </w:rPr>
      </w:pPr>
    </w:p>
    <w:p>
      <w:pPr>
        <w:pStyle w:val="8"/>
        <w:spacing w:line="276" w:lineRule="auto"/>
        <w:ind w:left="420" w:firstLine="0" w:firstLineChars="0"/>
        <w:rPr>
          <w:rFonts w:ascii="DengXian" w:hAnsi="DengXian" w:eastAsia="DengXian" w:cs="Times New Roman"/>
          <w:b/>
          <w:sz w:val="22"/>
        </w:rPr>
      </w:pPr>
      <w:r>
        <w:rPr>
          <w:rFonts w:ascii="DengXian" w:hAnsi="DengXian" w:eastAsia="DengXian" w:cs="Times New Roman"/>
          <w:b/>
          <w:sz w:val="22"/>
        </w:rPr>
        <w:t>优惠政策</w:t>
      </w:r>
    </w:p>
    <w:p>
      <w:pPr>
        <w:pStyle w:val="8"/>
        <w:spacing w:line="276" w:lineRule="auto"/>
        <w:ind w:left="420" w:firstLine="0" w:firstLineChars="0"/>
        <w:rPr>
          <w:rFonts w:ascii="DengXian" w:hAnsi="DengXian" w:eastAsia="DengXian" w:cs="Times New Roman"/>
          <w:sz w:val="22"/>
        </w:rPr>
      </w:pPr>
      <w:r>
        <w:rPr>
          <w:rFonts w:ascii="DengXian" w:hAnsi="DengXian" w:eastAsia="DengXian" w:cs="Times New Roman"/>
          <w:sz w:val="22"/>
        </w:rPr>
        <w:t>来自中国合作院校的访问生可享受接近70% 的学费减免。此外，项目费用中还包括</w:t>
      </w:r>
      <w:r>
        <w:rPr>
          <w:rFonts w:hint="eastAsia" w:ascii="DengXian" w:hAnsi="DengXian" w:eastAsia="DengXian" w:cs="Times New Roman"/>
          <w:sz w:val="22"/>
        </w:rPr>
        <w:t>住宿和餐费。</w:t>
      </w:r>
    </w:p>
    <w:p>
      <w:pPr>
        <w:spacing w:line="276" w:lineRule="auto"/>
        <w:rPr>
          <w:rFonts w:ascii="DengXian" w:hAnsi="DengXian" w:eastAsia="DengXian" w:cs="Times New Roman"/>
          <w:sz w:val="22"/>
        </w:rPr>
      </w:pPr>
      <w:r>
        <w:rPr>
          <w:rFonts w:ascii="DengXian" w:hAnsi="DengXian" w:eastAsia="DengXian" w:cs="Times New Roman"/>
          <w:sz w:val="22"/>
        </w:rPr>
        <w:t xml:space="preserve">    </w:t>
      </w:r>
    </w:p>
    <w:p>
      <w:pPr>
        <w:pStyle w:val="8"/>
        <w:numPr>
          <w:ilvl w:val="0"/>
          <w:numId w:val="1"/>
        </w:numPr>
        <w:spacing w:line="276" w:lineRule="auto"/>
        <w:ind w:firstLineChars="0"/>
        <w:rPr>
          <w:rFonts w:ascii="DengXian" w:hAnsi="DengXian" w:eastAsia="DengXian" w:cs="Times New Roman"/>
          <w:sz w:val="22"/>
        </w:rPr>
      </w:pPr>
      <w:r>
        <w:rPr>
          <w:rFonts w:ascii="DengXian" w:hAnsi="DengXian" w:eastAsia="DengXian" w:cs="Times New Roman"/>
          <w:sz w:val="22"/>
        </w:rPr>
        <w:t>项目总费用：</w:t>
      </w:r>
    </w:p>
    <w:p>
      <w:pPr>
        <w:ind w:firstLine="420"/>
        <w:rPr>
          <w:rFonts w:ascii="DengXian" w:hAnsi="DengXian" w:eastAsia="DengXian" w:cs="Times New Roman"/>
          <w:sz w:val="22"/>
        </w:rPr>
      </w:pPr>
      <w:r>
        <w:rPr>
          <w:rFonts w:ascii="DengXian" w:hAnsi="DengXian" w:eastAsia="DengXian" w:cs="Times New Roman"/>
          <w:sz w:val="22"/>
        </w:rPr>
        <w:t>美国</w:t>
      </w:r>
      <w:r>
        <w:rPr>
          <w:rFonts w:hint="eastAsia" w:ascii="DengXian" w:hAnsi="DengXian" w:eastAsia="DengXian" w:cs="Times New Roman"/>
          <w:sz w:val="22"/>
        </w:rPr>
        <w:t>校</w:t>
      </w:r>
      <w:r>
        <w:rPr>
          <w:rFonts w:ascii="DengXian" w:hAnsi="DengXian" w:eastAsia="DengXian" w:cs="Times New Roman"/>
          <w:sz w:val="22"/>
        </w:rPr>
        <w:t>本部：14000美元/学期，马德里校区：12000美元/学期</w:t>
      </w:r>
    </w:p>
    <w:p>
      <w:pPr>
        <w:ind w:firstLine="420"/>
        <w:rPr>
          <w:rFonts w:ascii="DengXian" w:hAnsi="DengXian" w:eastAsia="DengXian" w:cs="Times New Roman"/>
          <w:sz w:val="22"/>
        </w:rPr>
      </w:pPr>
      <w:r>
        <w:rPr>
          <w:rFonts w:ascii="DengXian" w:hAnsi="DengXian" w:eastAsia="DengXian" w:cs="Times New Roman"/>
          <w:sz w:val="22"/>
        </w:rPr>
        <w:t>更有吸引力：一年中分别在两个校区各一个学期，25000美元/年</w:t>
      </w:r>
    </w:p>
    <w:p>
      <w:pPr>
        <w:spacing w:line="276" w:lineRule="auto"/>
        <w:ind w:left="420"/>
        <w:rPr>
          <w:rFonts w:ascii="DengXian" w:hAnsi="DengXian" w:eastAsia="DengXian" w:cs="Times New Roman"/>
          <w:i/>
          <w:sz w:val="22"/>
        </w:rPr>
      </w:pPr>
      <w:r>
        <w:rPr>
          <w:rFonts w:hint="eastAsia" w:ascii="DengXian" w:hAnsi="DengXian" w:eastAsia="DengXian" w:cs="Times New Roman"/>
          <w:sz w:val="22"/>
        </w:rPr>
        <w:t>费用中</w:t>
      </w:r>
      <w:r>
        <w:rPr>
          <w:rFonts w:ascii="DengXian" w:hAnsi="DengXian" w:eastAsia="DengXian" w:cs="Times New Roman"/>
          <w:sz w:val="22"/>
        </w:rPr>
        <w:t>包含学费、住宿</w:t>
      </w:r>
      <w:r>
        <w:rPr>
          <w:rFonts w:hint="eastAsia" w:ascii="DengXian" w:hAnsi="DengXian" w:eastAsia="DengXian" w:cs="Times New Roman"/>
          <w:sz w:val="22"/>
        </w:rPr>
        <w:t>、</w:t>
      </w:r>
      <w:r>
        <w:rPr>
          <w:rFonts w:ascii="DengXian" w:hAnsi="DengXian" w:eastAsia="DengXian" w:cs="Times New Roman"/>
          <w:sz w:val="22"/>
        </w:rPr>
        <w:t>活动、校园设施使用费（就业指导中心、教学辅导中心、体育馆、校医院等）。学生需自行承担国际机票、签证、课本及医疗保险等费用</w:t>
      </w:r>
      <w:r>
        <w:rPr>
          <w:rFonts w:hint="eastAsia" w:ascii="DengXian" w:hAnsi="DengXian" w:eastAsia="DengXian" w:cs="Times New Roman"/>
          <w:sz w:val="22"/>
        </w:rPr>
        <w:t>。</w:t>
      </w:r>
    </w:p>
    <w:p>
      <w:pPr>
        <w:spacing w:line="276" w:lineRule="auto"/>
        <w:rPr>
          <w:rFonts w:ascii="DengXian" w:hAnsi="DengXian" w:eastAsia="DengXian" w:cs="Times New Roman"/>
          <w:sz w:val="22"/>
        </w:rPr>
      </w:pPr>
    </w:p>
    <w:p>
      <w:pPr>
        <w:pStyle w:val="8"/>
        <w:numPr>
          <w:ilvl w:val="0"/>
          <w:numId w:val="1"/>
        </w:numPr>
        <w:spacing w:line="276" w:lineRule="auto"/>
        <w:ind w:firstLineChars="0"/>
        <w:rPr>
          <w:rFonts w:ascii="DengXian" w:hAnsi="DengXian" w:eastAsia="DengXian" w:cs="Times New Roman"/>
          <w:sz w:val="22"/>
        </w:rPr>
      </w:pPr>
      <w:r>
        <w:rPr>
          <w:rFonts w:ascii="DengXian" w:hAnsi="DengXian" w:eastAsia="DengXian" w:cs="Times New Roman"/>
          <w:sz w:val="22"/>
        </w:rPr>
        <w:t>申请条件</w:t>
      </w:r>
    </w:p>
    <w:p>
      <w:pPr>
        <w:pStyle w:val="8"/>
        <w:numPr>
          <w:ilvl w:val="0"/>
          <w:numId w:val="3"/>
        </w:numPr>
        <w:spacing w:line="276" w:lineRule="auto"/>
        <w:ind w:firstLineChars="0"/>
        <w:rPr>
          <w:rFonts w:ascii="DengXian" w:hAnsi="DengXian" w:eastAsia="DengXian" w:cs="Times New Roman"/>
          <w:sz w:val="22"/>
        </w:rPr>
      </w:pPr>
      <w:r>
        <w:rPr>
          <w:rFonts w:ascii="DengXian" w:hAnsi="DengXian" w:eastAsia="DengXian" w:cs="Times New Roman"/>
          <w:sz w:val="22"/>
        </w:rPr>
        <w:t>在校</w:t>
      </w:r>
      <w:r>
        <w:rPr>
          <w:rFonts w:hint="eastAsia" w:ascii="DengXian" w:hAnsi="DengXian" w:eastAsia="DengXian" w:cs="Times New Roman"/>
          <w:sz w:val="22"/>
        </w:rPr>
        <w:t>本科</w:t>
      </w:r>
      <w:r>
        <w:rPr>
          <w:rFonts w:ascii="DengXian" w:hAnsi="DengXian" w:eastAsia="DengXian" w:cs="Times New Roman"/>
          <w:sz w:val="22"/>
        </w:rPr>
        <w:t>生</w:t>
      </w:r>
    </w:p>
    <w:p>
      <w:pPr>
        <w:pStyle w:val="8"/>
        <w:numPr>
          <w:ilvl w:val="0"/>
          <w:numId w:val="3"/>
        </w:numPr>
        <w:spacing w:line="276" w:lineRule="auto"/>
        <w:ind w:firstLineChars="0"/>
        <w:rPr>
          <w:rFonts w:ascii="DengXian" w:hAnsi="DengXian" w:eastAsia="DengXian" w:cs="Times New Roman"/>
          <w:sz w:val="22"/>
        </w:rPr>
      </w:pPr>
      <w:r>
        <w:rPr>
          <w:rFonts w:ascii="DengXian" w:hAnsi="DengXian" w:eastAsia="DengXian" w:cs="Times New Roman"/>
          <w:sz w:val="22"/>
        </w:rPr>
        <w:t>平均绩点2.5以上（满分4.0）</w:t>
      </w:r>
    </w:p>
    <w:p>
      <w:pPr>
        <w:pStyle w:val="8"/>
        <w:numPr>
          <w:ilvl w:val="0"/>
          <w:numId w:val="3"/>
        </w:numPr>
        <w:spacing w:line="276" w:lineRule="auto"/>
        <w:ind w:firstLineChars="0"/>
        <w:rPr>
          <w:rFonts w:ascii="DengXian" w:hAnsi="DengXian" w:eastAsia="DengXian" w:cs="Times New Roman"/>
          <w:sz w:val="22"/>
        </w:rPr>
      </w:pPr>
      <w:r>
        <w:rPr>
          <w:rFonts w:ascii="DengXian" w:hAnsi="DengXian" w:eastAsia="DengXian" w:cs="Times New Roman"/>
          <w:sz w:val="22"/>
        </w:rPr>
        <w:t>提供英语水平证明</w:t>
      </w:r>
      <w:r>
        <w:rPr>
          <w:rFonts w:hint="eastAsia" w:ascii="DengXian" w:hAnsi="DengXian" w:eastAsia="DengXian" w:cs="Times New Roman"/>
          <w:sz w:val="22"/>
        </w:rPr>
        <w:t>，例如：托福、雅思、大学四六级或相关证明</w:t>
      </w:r>
    </w:p>
    <w:p>
      <w:pPr>
        <w:spacing w:line="276" w:lineRule="auto"/>
        <w:ind w:left="420"/>
        <w:rPr>
          <w:rFonts w:ascii="DengXian" w:hAnsi="DengXian" w:eastAsia="DengXian" w:cs="Times New Roman"/>
          <w:sz w:val="22"/>
        </w:rPr>
      </w:pPr>
    </w:p>
    <w:p>
      <w:pPr>
        <w:pStyle w:val="8"/>
        <w:numPr>
          <w:ilvl w:val="0"/>
          <w:numId w:val="1"/>
        </w:numPr>
        <w:spacing w:line="276" w:lineRule="auto"/>
        <w:ind w:firstLineChars="0"/>
        <w:rPr>
          <w:rFonts w:ascii="DengXian" w:hAnsi="DengXian" w:eastAsia="DengXian" w:cs="Times New Roman"/>
          <w:sz w:val="22"/>
        </w:rPr>
      </w:pPr>
      <w:r>
        <w:rPr>
          <w:rFonts w:ascii="DengXian" w:hAnsi="DengXian" w:eastAsia="DengXian" w:cs="Times New Roman"/>
          <w:sz w:val="22"/>
        </w:rPr>
        <w:t>申请材料</w:t>
      </w:r>
    </w:p>
    <w:p>
      <w:pPr>
        <w:pStyle w:val="8"/>
        <w:numPr>
          <w:ilvl w:val="0"/>
          <w:numId w:val="4"/>
        </w:numPr>
        <w:spacing w:line="276" w:lineRule="auto"/>
        <w:ind w:firstLineChars="0"/>
        <w:rPr>
          <w:rFonts w:ascii="DengXian" w:hAnsi="DengXian" w:eastAsia="DengXian" w:cs="Times New Roman"/>
          <w:sz w:val="22"/>
        </w:rPr>
      </w:pPr>
      <w:r>
        <w:rPr>
          <w:rFonts w:ascii="DengXian" w:hAnsi="DengXian" w:eastAsia="DengXian" w:cs="Times New Roman"/>
          <w:sz w:val="22"/>
        </w:rPr>
        <w:t>申请</w:t>
      </w:r>
      <w:r>
        <w:rPr>
          <w:rFonts w:hint="eastAsia" w:ascii="DengXian" w:hAnsi="DengXian" w:eastAsia="DengXian" w:cs="Times New Roman"/>
          <w:sz w:val="22"/>
        </w:rPr>
        <w:t>表</w:t>
      </w:r>
    </w:p>
    <w:p>
      <w:pPr>
        <w:pStyle w:val="8"/>
        <w:numPr>
          <w:ilvl w:val="0"/>
          <w:numId w:val="4"/>
        </w:numPr>
        <w:spacing w:line="276" w:lineRule="auto"/>
        <w:ind w:firstLineChars="0"/>
        <w:rPr>
          <w:rFonts w:ascii="DengXian" w:hAnsi="DengXian" w:eastAsia="DengXian" w:cs="Times New Roman"/>
          <w:sz w:val="22"/>
        </w:rPr>
      </w:pPr>
      <w:r>
        <w:rPr>
          <w:rFonts w:ascii="DengXian" w:hAnsi="DengXian" w:eastAsia="DengXian" w:cs="Times New Roman"/>
          <w:sz w:val="22"/>
        </w:rPr>
        <w:t>官方中英文成绩单</w:t>
      </w:r>
    </w:p>
    <w:p>
      <w:pPr>
        <w:pStyle w:val="8"/>
        <w:numPr>
          <w:ilvl w:val="0"/>
          <w:numId w:val="4"/>
        </w:numPr>
        <w:spacing w:line="276" w:lineRule="auto"/>
        <w:ind w:firstLineChars="0"/>
        <w:rPr>
          <w:rFonts w:ascii="DengXian" w:hAnsi="DengXian" w:eastAsia="DengXian" w:cs="Times New Roman"/>
          <w:sz w:val="22"/>
        </w:rPr>
      </w:pPr>
      <w:r>
        <w:rPr>
          <w:rFonts w:ascii="DengXian" w:hAnsi="DengXian" w:eastAsia="DengXian" w:cs="Times New Roman"/>
          <w:sz w:val="22"/>
        </w:rPr>
        <w:t>本学期所修课程中英文名称</w:t>
      </w:r>
    </w:p>
    <w:p>
      <w:pPr>
        <w:pStyle w:val="8"/>
        <w:numPr>
          <w:ilvl w:val="0"/>
          <w:numId w:val="4"/>
        </w:numPr>
        <w:spacing w:line="276" w:lineRule="auto"/>
        <w:ind w:firstLineChars="0"/>
        <w:rPr>
          <w:rFonts w:ascii="DengXian" w:hAnsi="DengXian" w:eastAsia="DengXian" w:cs="Times New Roman"/>
          <w:sz w:val="22"/>
        </w:rPr>
      </w:pPr>
      <w:r>
        <w:rPr>
          <w:rFonts w:ascii="DengXian" w:hAnsi="DengXian" w:eastAsia="DengXian" w:cs="Times New Roman"/>
          <w:sz w:val="22"/>
        </w:rPr>
        <w:t>护照复印件</w:t>
      </w:r>
    </w:p>
    <w:p>
      <w:pPr>
        <w:pStyle w:val="8"/>
        <w:numPr>
          <w:ilvl w:val="0"/>
          <w:numId w:val="4"/>
        </w:numPr>
        <w:spacing w:line="276" w:lineRule="auto"/>
        <w:ind w:firstLineChars="0"/>
        <w:rPr>
          <w:rFonts w:ascii="DengXian" w:hAnsi="DengXian" w:eastAsia="DengXian" w:cs="Times New Roman"/>
          <w:sz w:val="22"/>
        </w:rPr>
      </w:pPr>
      <w:r>
        <w:rPr>
          <w:rFonts w:ascii="DengXian" w:hAnsi="DengXian" w:eastAsia="DengXian" w:cs="Times New Roman"/>
          <w:sz w:val="22"/>
        </w:rPr>
        <w:t>英语水平证明（托福、雅思、大学四六级或相关证明）</w:t>
      </w:r>
    </w:p>
    <w:p>
      <w:pPr>
        <w:pStyle w:val="8"/>
        <w:numPr>
          <w:ilvl w:val="0"/>
          <w:numId w:val="4"/>
        </w:numPr>
        <w:spacing w:line="276" w:lineRule="auto"/>
        <w:ind w:firstLineChars="0"/>
        <w:rPr>
          <w:rFonts w:ascii="DengXian" w:hAnsi="DengXian" w:eastAsia="DengXian" w:cs="Times New Roman"/>
          <w:sz w:val="22"/>
        </w:rPr>
      </w:pPr>
      <w:r>
        <w:rPr>
          <w:rFonts w:ascii="DengXian" w:hAnsi="DengXian" w:eastAsia="DengXian" w:cs="Times New Roman"/>
          <w:sz w:val="22"/>
        </w:rPr>
        <w:t>资金证明表格和银行存款证明</w:t>
      </w:r>
    </w:p>
    <w:p>
      <w:pPr>
        <w:spacing w:line="276" w:lineRule="auto"/>
        <w:rPr>
          <w:rFonts w:ascii="DengXian" w:hAnsi="DengXian" w:eastAsia="DengXian" w:cs="Times New Roman"/>
          <w:sz w:val="22"/>
        </w:rPr>
      </w:pPr>
    </w:p>
    <w:p>
      <w:pPr>
        <w:pStyle w:val="8"/>
        <w:numPr>
          <w:ilvl w:val="0"/>
          <w:numId w:val="1"/>
        </w:numPr>
        <w:spacing w:line="276" w:lineRule="auto"/>
        <w:ind w:firstLineChars="0"/>
        <w:rPr>
          <w:rFonts w:ascii="DengXian" w:hAnsi="DengXian" w:eastAsia="DengXian" w:cs="Times New Roman"/>
          <w:sz w:val="22"/>
        </w:rPr>
      </w:pPr>
      <w:r>
        <w:rPr>
          <w:rFonts w:ascii="DengXian" w:hAnsi="DengXian" w:eastAsia="DengXian" w:cs="Times New Roman"/>
          <w:sz w:val="22"/>
        </w:rPr>
        <w:t>申请截止日期</w:t>
      </w:r>
    </w:p>
    <w:p>
      <w:pPr>
        <w:ind w:firstLine="420"/>
        <w:rPr>
          <w:rFonts w:ascii="DengXian" w:hAnsi="DengXian" w:eastAsia="DengXian" w:cs="Times New Roman"/>
          <w:sz w:val="22"/>
        </w:rPr>
      </w:pPr>
      <w:r>
        <w:rPr>
          <w:rFonts w:ascii="DengXian" w:hAnsi="DengXian" w:eastAsia="DengXian" w:cs="Times New Roman"/>
          <w:sz w:val="22"/>
        </w:rPr>
        <w:t>2024年秋季学期一学期</w:t>
      </w:r>
      <w:r>
        <w:rPr>
          <w:rFonts w:hint="eastAsia" w:ascii="DengXian" w:hAnsi="DengXian" w:eastAsia="DengXian" w:cs="Times New Roman"/>
          <w:sz w:val="22"/>
        </w:rPr>
        <w:t>：</w:t>
      </w:r>
      <w:r>
        <w:rPr>
          <w:rFonts w:ascii="DengXian" w:hAnsi="DengXian" w:eastAsia="DengXian" w:cs="Times New Roman"/>
          <w:sz w:val="22"/>
        </w:rPr>
        <w:t>2024年5月31日</w:t>
      </w:r>
    </w:p>
    <w:p>
      <w:pPr>
        <w:ind w:firstLine="420"/>
        <w:rPr>
          <w:rFonts w:ascii="DengXian" w:hAnsi="DengXian" w:eastAsia="DengXian" w:cs="Times New Roman"/>
          <w:sz w:val="22"/>
        </w:rPr>
      </w:pPr>
      <w:r>
        <w:rPr>
          <w:rFonts w:hint="eastAsia" w:ascii="DengXian" w:hAnsi="DengXian" w:eastAsia="DengXian" w:cs="Times New Roman"/>
          <w:sz w:val="22"/>
        </w:rPr>
        <w:t>2</w:t>
      </w:r>
      <w:r>
        <w:rPr>
          <w:rFonts w:ascii="DengXian" w:hAnsi="DengXian" w:eastAsia="DengXian" w:cs="Times New Roman"/>
          <w:sz w:val="22"/>
        </w:rPr>
        <w:t>024-2025</w:t>
      </w:r>
      <w:r>
        <w:rPr>
          <w:rFonts w:hint="eastAsia" w:ascii="DengXian" w:hAnsi="DengXian" w:eastAsia="DengXian" w:cs="Times New Roman"/>
          <w:sz w:val="22"/>
        </w:rPr>
        <w:t>一学年（</w:t>
      </w:r>
      <w:r>
        <w:rPr>
          <w:rFonts w:ascii="DengXian" w:hAnsi="DengXian" w:eastAsia="DengXian" w:cs="Times New Roman"/>
          <w:sz w:val="22"/>
        </w:rPr>
        <w:t>2024</w:t>
      </w:r>
      <w:r>
        <w:rPr>
          <w:rFonts w:hint="eastAsia" w:ascii="DengXian" w:hAnsi="DengXian" w:eastAsia="DengXian" w:cs="Times New Roman"/>
          <w:sz w:val="22"/>
        </w:rPr>
        <w:t>年秋季学期 +</w:t>
      </w:r>
      <w:r>
        <w:rPr>
          <w:rFonts w:ascii="DengXian" w:hAnsi="DengXian" w:eastAsia="DengXian" w:cs="Times New Roman"/>
          <w:sz w:val="22"/>
        </w:rPr>
        <w:t xml:space="preserve"> 2025</w:t>
      </w:r>
      <w:r>
        <w:rPr>
          <w:rFonts w:hint="eastAsia" w:ascii="DengXian" w:hAnsi="DengXian" w:eastAsia="DengXian" w:cs="Times New Roman"/>
          <w:sz w:val="22"/>
        </w:rPr>
        <w:t>年春季学期一学年）：</w:t>
      </w:r>
      <w:r>
        <w:rPr>
          <w:rFonts w:ascii="DengXian" w:hAnsi="DengXian" w:eastAsia="DengXian" w:cs="Times New Roman"/>
          <w:sz w:val="22"/>
        </w:rPr>
        <w:t>2024年5月31日</w:t>
      </w:r>
    </w:p>
    <w:p>
      <w:pPr>
        <w:ind w:firstLine="420"/>
        <w:rPr>
          <w:rFonts w:ascii="DengXian" w:hAnsi="DengXian" w:eastAsia="DengXian" w:cs="Times New Roman"/>
          <w:sz w:val="22"/>
        </w:rPr>
      </w:pPr>
      <w:r>
        <w:rPr>
          <w:rFonts w:ascii="DengXian" w:hAnsi="DengXian" w:eastAsia="DengXian" w:cs="Times New Roman"/>
          <w:sz w:val="22"/>
        </w:rPr>
        <w:t>2025</w:t>
      </w:r>
      <w:r>
        <w:rPr>
          <w:rFonts w:hint="eastAsia" w:ascii="DengXian" w:hAnsi="DengXian" w:eastAsia="DengXian" w:cs="Times New Roman"/>
          <w:sz w:val="22"/>
        </w:rPr>
        <w:t>年春季学期一学期：2</w:t>
      </w:r>
      <w:r>
        <w:rPr>
          <w:rFonts w:ascii="DengXian" w:hAnsi="DengXian" w:eastAsia="DengXian" w:cs="Times New Roman"/>
          <w:sz w:val="22"/>
        </w:rPr>
        <w:t>024</w:t>
      </w:r>
      <w:r>
        <w:rPr>
          <w:rFonts w:hint="eastAsia" w:ascii="DengXian" w:hAnsi="DengXian" w:eastAsia="DengXian" w:cs="Times New Roman"/>
          <w:sz w:val="22"/>
        </w:rPr>
        <w:t>年1</w:t>
      </w:r>
      <w:r>
        <w:rPr>
          <w:rFonts w:ascii="DengXian" w:hAnsi="DengXian" w:eastAsia="DengXian" w:cs="Times New Roman"/>
          <w:sz w:val="22"/>
        </w:rPr>
        <w:t>0</w:t>
      </w:r>
      <w:r>
        <w:rPr>
          <w:rFonts w:hint="eastAsia" w:ascii="DengXian" w:hAnsi="DengXian" w:eastAsia="DengXian" w:cs="Times New Roman"/>
          <w:sz w:val="22"/>
        </w:rPr>
        <w:t>月3</w:t>
      </w:r>
      <w:r>
        <w:rPr>
          <w:rFonts w:ascii="DengXian" w:hAnsi="DengXian" w:eastAsia="DengXian" w:cs="Times New Roman"/>
          <w:sz w:val="22"/>
        </w:rPr>
        <w:t>1</w:t>
      </w:r>
      <w:r>
        <w:rPr>
          <w:rFonts w:hint="eastAsia" w:ascii="DengXian" w:hAnsi="DengXian" w:eastAsia="DengXian" w:cs="Times New Roman"/>
          <w:sz w:val="22"/>
        </w:rPr>
        <w:t>日</w:t>
      </w:r>
    </w:p>
    <w:p>
      <w:pPr>
        <w:spacing w:line="276" w:lineRule="auto"/>
        <w:rPr>
          <w:rFonts w:ascii="DengXian" w:hAnsi="DengXian" w:eastAsia="DengXian" w:cs="Times New Roman"/>
          <w:sz w:val="22"/>
        </w:rPr>
      </w:pPr>
    </w:p>
    <w:p>
      <w:pPr>
        <w:pStyle w:val="8"/>
        <w:numPr>
          <w:ilvl w:val="0"/>
          <w:numId w:val="1"/>
        </w:numPr>
        <w:spacing w:line="276" w:lineRule="auto"/>
        <w:ind w:firstLineChars="0"/>
        <w:rPr>
          <w:rFonts w:ascii="DengXian" w:hAnsi="DengXian" w:eastAsia="DengXian" w:cs="Times New Roman"/>
          <w:sz w:val="22"/>
        </w:rPr>
      </w:pPr>
      <w:r>
        <w:rPr>
          <w:rFonts w:ascii="DengXian" w:hAnsi="DengXian" w:eastAsia="DengXian" w:cs="Times New Roman"/>
          <w:sz w:val="22"/>
        </w:rPr>
        <w:t>选课和转学分</w:t>
      </w:r>
    </w:p>
    <w:p>
      <w:pPr>
        <w:pStyle w:val="8"/>
        <w:numPr>
          <w:ilvl w:val="0"/>
          <w:numId w:val="5"/>
        </w:numPr>
        <w:ind w:firstLineChars="0"/>
        <w:rPr>
          <w:rFonts w:ascii="DengXian" w:hAnsi="DengXian" w:eastAsia="DengXian" w:cs="Times New Roman"/>
          <w:sz w:val="22"/>
        </w:rPr>
      </w:pPr>
      <w:r>
        <w:rPr>
          <w:rFonts w:ascii="DengXian" w:hAnsi="DengXian" w:eastAsia="DengXian" w:cs="Times New Roman"/>
          <w:sz w:val="22"/>
        </w:rPr>
        <w:t xml:space="preserve">课程列表、课程介绍、前置课程要求，请见：https://catalog.slu.edu/courses-az/ </w:t>
      </w:r>
    </w:p>
    <w:p>
      <w:pPr>
        <w:pStyle w:val="8"/>
        <w:numPr>
          <w:ilvl w:val="0"/>
          <w:numId w:val="5"/>
        </w:numPr>
        <w:spacing w:line="276" w:lineRule="auto"/>
        <w:ind w:firstLineChars="0"/>
        <w:rPr>
          <w:rFonts w:ascii="DengXian" w:hAnsi="DengXian" w:eastAsia="DengXian" w:cs="Times New Roman"/>
          <w:sz w:val="22"/>
        </w:rPr>
      </w:pPr>
      <w:r>
        <w:rPr>
          <w:rFonts w:ascii="DengXian" w:hAnsi="DengXian" w:eastAsia="DengXian" w:cs="Times New Roman"/>
          <w:sz w:val="22"/>
        </w:rPr>
        <w:t>根据实际情况，学生选课可能会有调整，最终选课结果将由学生前置课程完成情况、课堂容量、课程时间安排及各院系批准情况等因素</w:t>
      </w:r>
      <w:r>
        <w:rPr>
          <w:rFonts w:hint="eastAsia" w:ascii="DengXian" w:hAnsi="DengXian" w:eastAsia="DengXian" w:cs="Times New Roman"/>
          <w:sz w:val="22"/>
        </w:rPr>
        <w:t>综合</w:t>
      </w:r>
      <w:r>
        <w:rPr>
          <w:rFonts w:ascii="DengXian" w:hAnsi="DengXian" w:eastAsia="DengXian" w:cs="Times New Roman"/>
          <w:sz w:val="22"/>
        </w:rPr>
        <w:t>决定。项目开始后，除遇特殊情况，课程安排将不</w:t>
      </w:r>
      <w:r>
        <w:rPr>
          <w:rFonts w:hint="eastAsia" w:ascii="DengXian" w:hAnsi="DengXian" w:eastAsia="DengXian" w:cs="Times New Roman"/>
          <w:sz w:val="22"/>
        </w:rPr>
        <w:t>再</w:t>
      </w:r>
      <w:r>
        <w:rPr>
          <w:rFonts w:ascii="DengXian" w:hAnsi="DengXian" w:eastAsia="DengXian" w:cs="Times New Roman"/>
          <w:sz w:val="22"/>
        </w:rPr>
        <w:t>变化。</w:t>
      </w:r>
    </w:p>
    <w:p>
      <w:pPr>
        <w:pStyle w:val="8"/>
        <w:numPr>
          <w:ilvl w:val="0"/>
          <w:numId w:val="5"/>
        </w:numPr>
        <w:spacing w:line="276" w:lineRule="auto"/>
        <w:ind w:firstLineChars="0"/>
        <w:rPr>
          <w:rFonts w:ascii="DengXian" w:hAnsi="DengXian" w:eastAsia="DengXian" w:cs="Times New Roman"/>
          <w:sz w:val="22"/>
        </w:rPr>
      </w:pPr>
      <w:r>
        <w:rPr>
          <w:rFonts w:ascii="DengXian" w:hAnsi="DengXian" w:eastAsia="DengXian" w:cs="Times New Roman"/>
          <w:sz w:val="22"/>
        </w:rPr>
        <w:t>学生有义务自行咨询其所在院校相关部门，确保自身所选课程符合院校的学分转换相关规定。学分转换相关事宜最终将由学生所在院校决定。</w:t>
      </w:r>
    </w:p>
    <w:p>
      <w:pPr>
        <w:spacing w:line="276" w:lineRule="auto"/>
        <w:ind w:left="430" w:leftChars="100" w:hanging="220" w:hangingChars="100"/>
        <w:rPr>
          <w:rFonts w:ascii="DengXian" w:hAnsi="DengXian" w:eastAsia="DengXian" w:cs="Times New Roman"/>
          <w:sz w:val="22"/>
        </w:rPr>
      </w:pPr>
    </w:p>
    <w:p>
      <w:pPr>
        <w:pStyle w:val="8"/>
        <w:numPr>
          <w:ilvl w:val="0"/>
          <w:numId w:val="1"/>
        </w:numPr>
        <w:spacing w:line="276" w:lineRule="auto"/>
        <w:ind w:firstLineChars="0"/>
        <w:rPr>
          <w:rFonts w:ascii="DengXian" w:hAnsi="DengXian" w:eastAsia="DengXian" w:cs="Times New Roman"/>
          <w:sz w:val="22"/>
        </w:rPr>
      </w:pPr>
      <w:r>
        <w:rPr>
          <w:rFonts w:ascii="DengXian" w:hAnsi="DengXian" w:eastAsia="DengXian" w:cs="Times New Roman"/>
          <w:sz w:val="22"/>
        </w:rPr>
        <w:t>住宿</w:t>
      </w:r>
      <w:r>
        <w:rPr>
          <w:rFonts w:hint="eastAsia" w:ascii="DengXian" w:hAnsi="DengXian" w:eastAsia="DengXian" w:cs="Times New Roman"/>
          <w:sz w:val="22"/>
        </w:rPr>
        <w:t>和餐饮</w:t>
      </w:r>
    </w:p>
    <w:p>
      <w:pPr>
        <w:spacing w:line="276" w:lineRule="auto"/>
        <w:ind w:left="360"/>
        <w:jc w:val="left"/>
        <w:rPr>
          <w:rFonts w:ascii="DengXian" w:hAnsi="DengXian" w:eastAsia="DengXian" w:cs="Times New Roman"/>
          <w:sz w:val="22"/>
        </w:rPr>
      </w:pPr>
      <w:bookmarkStart w:id="0" w:name="OLE_LINK2"/>
      <w:r>
        <w:rPr>
          <w:rFonts w:ascii="DengXian" w:hAnsi="DengXian" w:eastAsia="DengXian" w:cs="Times New Roman"/>
          <w:b/>
          <w:bCs/>
          <w:sz w:val="22"/>
        </w:rPr>
        <w:t>圣路易斯大学将统一安排校内宿舍</w:t>
      </w:r>
      <w:bookmarkEnd w:id="0"/>
      <w:r>
        <w:rPr>
          <w:rFonts w:ascii="DengXian" w:hAnsi="DengXian" w:eastAsia="DengXian" w:cs="Times New Roman"/>
          <w:sz w:val="22"/>
        </w:rPr>
        <w:t>。所有访问生将由学校统一安排宿舍，</w:t>
      </w:r>
      <w:r>
        <w:rPr>
          <w:rFonts w:hint="eastAsia" w:ascii="DengXian" w:hAnsi="DengXian" w:eastAsia="DengXian" w:cs="Times New Roman"/>
          <w:sz w:val="22"/>
        </w:rPr>
        <w:t>餐饮是在学校食堂刷卡就餐。既</w:t>
      </w:r>
      <w:r>
        <w:rPr>
          <w:rFonts w:ascii="DengXian" w:hAnsi="DengXian" w:eastAsia="DengXian" w:cs="Times New Roman"/>
          <w:sz w:val="22"/>
        </w:rPr>
        <w:t>可以与本土学生一起参与社区活动，也可以和同一项目的中国学生共同庆祝节日。</w:t>
      </w:r>
    </w:p>
    <w:p>
      <w:pPr>
        <w:spacing w:line="276" w:lineRule="auto"/>
        <w:ind w:left="360"/>
        <w:jc w:val="left"/>
        <w:rPr>
          <w:rFonts w:ascii="DengXian" w:hAnsi="DengXian" w:eastAsia="DengXian" w:cs="Times New Roman"/>
          <w:sz w:val="22"/>
        </w:rPr>
      </w:pPr>
    </w:p>
    <w:p>
      <w:pPr>
        <w:spacing w:line="276" w:lineRule="auto"/>
        <w:ind w:left="360"/>
        <w:jc w:val="left"/>
        <w:rPr>
          <w:rFonts w:ascii="DengXian" w:hAnsi="DengXian" w:eastAsia="DengXian" w:cs="Times New Roman"/>
          <w:sz w:val="22"/>
        </w:rPr>
      </w:pPr>
    </w:p>
    <w:p>
      <w:pPr>
        <w:spacing w:line="276" w:lineRule="auto"/>
        <w:ind w:left="360"/>
        <w:jc w:val="left"/>
        <w:rPr>
          <w:rFonts w:ascii="DengXian" w:hAnsi="DengXian" w:eastAsia="DengXian" w:cs="Times New Roman"/>
          <w:sz w:val="22"/>
        </w:rPr>
      </w:pPr>
    </w:p>
    <w:p>
      <w:pPr>
        <w:spacing w:line="276" w:lineRule="auto"/>
        <w:ind w:left="360"/>
        <w:jc w:val="left"/>
        <w:rPr>
          <w:rFonts w:ascii="DengXian" w:hAnsi="DengXian" w:eastAsia="DengXian" w:cs="Times New Roman"/>
          <w:sz w:val="22"/>
        </w:rPr>
      </w:pPr>
    </w:p>
    <w:p>
      <w:pPr>
        <w:spacing w:line="276" w:lineRule="auto"/>
        <w:ind w:left="360"/>
        <w:jc w:val="left"/>
        <w:rPr>
          <w:rFonts w:ascii="DengXian" w:hAnsi="DengXian" w:eastAsia="DengXian" w:cs="Times New Roman"/>
          <w:sz w:val="22"/>
        </w:rPr>
      </w:pPr>
    </w:p>
    <w:p>
      <w:pPr>
        <w:spacing w:line="276" w:lineRule="auto"/>
        <w:ind w:left="360"/>
        <w:jc w:val="left"/>
        <w:rPr>
          <w:rFonts w:ascii="DengXian" w:hAnsi="DengXian" w:eastAsia="DengXian" w:cs="Times New Roman"/>
          <w:sz w:val="22"/>
        </w:rPr>
      </w:pPr>
    </w:p>
    <w:p>
      <w:pPr>
        <w:spacing w:line="276" w:lineRule="auto"/>
        <w:ind w:left="360"/>
        <w:jc w:val="left"/>
        <w:rPr>
          <w:rFonts w:ascii="DengXian" w:hAnsi="DengXian" w:eastAsia="DengXian" w:cs="Times New Roman"/>
          <w:sz w:val="22"/>
        </w:rPr>
      </w:pPr>
    </w:p>
    <w:p>
      <w:pPr>
        <w:spacing w:line="276" w:lineRule="auto"/>
        <w:ind w:left="360"/>
        <w:jc w:val="left"/>
        <w:rPr>
          <w:rFonts w:ascii="DengXian" w:hAnsi="DengXian" w:eastAsia="DengXian" w:cs="Times New Roman"/>
          <w:sz w:val="22"/>
        </w:rPr>
      </w:pPr>
    </w:p>
    <w:p>
      <w:pPr>
        <w:spacing w:line="276" w:lineRule="auto"/>
        <w:ind w:left="360"/>
        <w:jc w:val="left"/>
        <w:rPr>
          <w:rFonts w:ascii="DengXian" w:hAnsi="DengXian" w:eastAsia="DengXian" w:cs="Times New Roman"/>
          <w:sz w:val="22"/>
        </w:rPr>
      </w:pPr>
    </w:p>
    <w:p>
      <w:pPr>
        <w:spacing w:line="276" w:lineRule="auto"/>
        <w:ind w:left="360"/>
        <w:jc w:val="left"/>
        <w:rPr>
          <w:rFonts w:ascii="DengXian" w:hAnsi="DengXian" w:eastAsia="DengXian" w:cs="Times New Roman"/>
          <w:sz w:val="22"/>
        </w:rPr>
      </w:pPr>
    </w:p>
    <w:p>
      <w:pPr>
        <w:spacing w:line="276" w:lineRule="auto"/>
        <w:ind w:left="360"/>
        <w:jc w:val="left"/>
        <w:rPr>
          <w:rFonts w:ascii="DengXian" w:hAnsi="DengXian" w:eastAsia="DengXian" w:cs="Times New Roman"/>
          <w:sz w:val="22"/>
        </w:rPr>
      </w:pPr>
    </w:p>
    <w:p>
      <w:pPr>
        <w:spacing w:line="276" w:lineRule="auto"/>
        <w:ind w:left="360"/>
        <w:jc w:val="left"/>
        <w:rPr>
          <w:rFonts w:ascii="DengXian" w:hAnsi="DengXian" w:eastAsia="DengXian" w:cs="Times New Roman"/>
          <w:sz w:val="22"/>
        </w:rPr>
      </w:pPr>
    </w:p>
    <w:p>
      <w:pPr>
        <w:spacing w:line="276" w:lineRule="auto"/>
        <w:ind w:left="360"/>
        <w:jc w:val="left"/>
        <w:rPr>
          <w:rFonts w:ascii="DengXian" w:hAnsi="DengXian" w:eastAsia="DengXian" w:cs="Times New Roman"/>
          <w:sz w:val="22"/>
        </w:rPr>
      </w:pPr>
    </w:p>
    <w:p>
      <w:pPr>
        <w:spacing w:line="276" w:lineRule="auto"/>
        <w:ind w:left="360"/>
        <w:jc w:val="left"/>
        <w:rPr>
          <w:rFonts w:ascii="DengXian" w:hAnsi="DengXian" w:eastAsia="DengXian" w:cs="Times New Roman"/>
          <w:sz w:val="22"/>
        </w:rPr>
      </w:pPr>
    </w:p>
    <w:p>
      <w:pPr>
        <w:spacing w:line="276" w:lineRule="auto"/>
        <w:ind w:left="360"/>
        <w:jc w:val="left"/>
        <w:rPr>
          <w:rFonts w:ascii="DengXian" w:hAnsi="DengXian" w:eastAsia="DengXian" w:cs="Times New Roman"/>
          <w:sz w:val="22"/>
        </w:rPr>
      </w:pPr>
    </w:p>
    <w:p>
      <w:pPr>
        <w:spacing w:line="276" w:lineRule="auto"/>
        <w:ind w:left="360"/>
        <w:jc w:val="left"/>
        <w:rPr>
          <w:rFonts w:ascii="DengXian" w:hAnsi="DengXian" w:eastAsia="DengXian" w:cs="Times New Roman"/>
          <w:sz w:val="22"/>
        </w:rPr>
      </w:pPr>
    </w:p>
    <w:p>
      <w:pPr>
        <w:spacing w:line="276" w:lineRule="auto"/>
        <w:ind w:left="360"/>
        <w:jc w:val="left"/>
        <w:rPr>
          <w:rFonts w:ascii="DengXian" w:hAnsi="DengXian" w:eastAsia="DengXian" w:cs="Times New Roman"/>
          <w:sz w:val="22"/>
        </w:rPr>
      </w:pPr>
    </w:p>
    <w:p>
      <w:pPr>
        <w:spacing w:line="276" w:lineRule="auto"/>
        <w:jc w:val="both"/>
        <w:rPr>
          <w:rFonts w:ascii="DengXian" w:hAnsi="DengXian" w:eastAsia="DengXian" w:cs="Times New Roman"/>
          <w:b/>
          <w:sz w:val="28"/>
          <w:szCs w:val="24"/>
        </w:rPr>
      </w:pPr>
      <w:bookmarkStart w:id="1" w:name="_GoBack"/>
      <w:bookmarkEnd w:id="1"/>
    </w:p>
    <w:p>
      <w:pPr>
        <w:spacing w:line="276" w:lineRule="auto"/>
        <w:jc w:val="center"/>
        <w:rPr>
          <w:rFonts w:ascii="DengXian" w:hAnsi="DengXian" w:eastAsia="DengXian" w:cs="Times New Roman"/>
          <w:b/>
          <w:sz w:val="48"/>
          <w:szCs w:val="44"/>
        </w:rPr>
      </w:pPr>
      <w:r>
        <w:rPr>
          <w:rFonts w:ascii="DengXian" w:hAnsi="DengXian" w:eastAsia="DengXian" w:cs="Times New Roman"/>
          <w:b/>
          <w:sz w:val="48"/>
          <w:szCs w:val="44"/>
        </w:rPr>
        <w:t>美国圣路易斯大学2024-2025</w:t>
      </w:r>
      <w:r>
        <w:rPr>
          <w:rFonts w:hint="eastAsia" w:ascii="DengXian" w:hAnsi="DengXian" w:eastAsia="DengXian" w:cs="Times New Roman"/>
          <w:b/>
          <w:sz w:val="48"/>
          <w:szCs w:val="44"/>
        </w:rPr>
        <w:t>学</w:t>
      </w:r>
      <w:r>
        <w:rPr>
          <w:rFonts w:ascii="DengXian" w:hAnsi="DengXian" w:eastAsia="DengXian" w:cs="Times New Roman"/>
          <w:b/>
          <w:sz w:val="48"/>
          <w:szCs w:val="44"/>
        </w:rPr>
        <w:t>年</w:t>
      </w:r>
      <w:r>
        <w:rPr>
          <w:rFonts w:hint="eastAsia" w:ascii="DengXian" w:hAnsi="DengXian" w:eastAsia="DengXian" w:cs="Times New Roman"/>
          <w:b/>
          <w:sz w:val="48"/>
          <w:szCs w:val="44"/>
        </w:rPr>
        <w:t>本科</w:t>
      </w:r>
      <w:r>
        <w:rPr>
          <w:rFonts w:ascii="DengXian" w:hAnsi="DengXian" w:eastAsia="DengXian" w:cs="Times New Roman"/>
          <w:b/>
          <w:sz w:val="48"/>
          <w:szCs w:val="44"/>
        </w:rPr>
        <w:t>访问生项目</w:t>
      </w:r>
      <w:r>
        <w:rPr>
          <w:rFonts w:hint="eastAsia" w:ascii="DengXian" w:hAnsi="DengXian" w:eastAsia="DengXian" w:cs="Times New Roman"/>
          <w:b/>
          <w:sz w:val="48"/>
          <w:szCs w:val="44"/>
        </w:rPr>
        <w:t>FAQ</w:t>
      </w:r>
    </w:p>
    <w:p>
      <w:pPr>
        <w:spacing w:line="276" w:lineRule="auto"/>
        <w:rPr>
          <w:rFonts w:ascii="DengXian" w:hAnsi="DengXian" w:eastAsia="DengXian" w:cs="Times New Roman"/>
          <w:sz w:val="36"/>
          <w:szCs w:val="40"/>
          <w:lang w:val="en-GB"/>
        </w:rPr>
      </w:pPr>
    </w:p>
    <w:p>
      <w:pPr>
        <w:spacing w:line="276" w:lineRule="auto"/>
        <w:rPr>
          <w:rFonts w:ascii="DengXian" w:hAnsi="DengXian" w:eastAsia="DengXian" w:cs="Times New Roman"/>
          <w:lang w:val="en-GB"/>
        </w:rPr>
      </w:pPr>
    </w:p>
    <w:p>
      <w:pPr>
        <w:spacing w:line="276" w:lineRule="auto"/>
        <w:rPr>
          <w:rFonts w:ascii="DengXian" w:hAnsi="DengXian" w:eastAsia="DengXian" w:cs="Times New Roman"/>
          <w:sz w:val="22"/>
        </w:rPr>
      </w:pPr>
      <w:r>
        <w:rPr>
          <w:rFonts w:ascii="DengXian" w:hAnsi="DengXian" w:eastAsia="DengXian" w:cs="Times New Roman"/>
          <w:sz w:val="22"/>
        </w:rPr>
        <w:t>圣路易斯大学为中国合作院校的</w:t>
      </w:r>
      <w:r>
        <w:rPr>
          <w:rFonts w:hint="eastAsia" w:ascii="DengXian" w:hAnsi="DengXian" w:eastAsia="DengXian" w:cs="Times New Roman"/>
          <w:sz w:val="22"/>
        </w:rPr>
        <w:t>在校本科</w:t>
      </w:r>
      <w:r>
        <w:rPr>
          <w:rFonts w:ascii="DengXian" w:hAnsi="DengXian" w:eastAsia="DengXian" w:cs="Times New Roman"/>
          <w:sz w:val="22"/>
        </w:rPr>
        <w:t>生提供前往圣路易斯大学美国校本部和西班牙马德里校区学习</w:t>
      </w:r>
      <w:r>
        <w:rPr>
          <w:rFonts w:hint="eastAsia" w:ascii="DengXian" w:hAnsi="DengXian" w:eastAsia="DengXian" w:cs="Times New Roman"/>
          <w:sz w:val="22"/>
        </w:rPr>
        <w:t>交流</w:t>
      </w:r>
      <w:r>
        <w:rPr>
          <w:rFonts w:ascii="DengXian" w:hAnsi="DengXian" w:eastAsia="DengXian" w:cs="Times New Roman"/>
          <w:sz w:val="22"/>
        </w:rPr>
        <w:t>的机会。访问生可以于春季学期或秋季学期加入圣路易斯大学的常规课堂，体验100%的美国大学生活，感受不同的文化。</w:t>
      </w:r>
    </w:p>
    <w:p>
      <w:pPr>
        <w:spacing w:line="276" w:lineRule="auto"/>
        <w:rPr>
          <w:rFonts w:ascii="DengXian" w:hAnsi="DengXian" w:eastAsia="DengXian" w:cs="Times New Roman"/>
          <w:sz w:val="22"/>
        </w:rPr>
      </w:pPr>
    </w:p>
    <w:p>
      <w:pPr>
        <w:spacing w:line="276" w:lineRule="auto"/>
        <w:rPr>
          <w:rFonts w:ascii="DengXian" w:hAnsi="DengXian" w:eastAsia="DengXian" w:cs="Times New Roman"/>
          <w:sz w:val="22"/>
        </w:rPr>
      </w:pPr>
      <w:r>
        <w:rPr>
          <w:rFonts w:ascii="DengXian" w:hAnsi="DengXian" w:eastAsia="DengXian" w:cs="Times New Roman"/>
          <w:sz w:val="22"/>
        </w:rPr>
        <w:t xml:space="preserve">1. </w:t>
      </w:r>
      <w:r>
        <w:rPr>
          <w:rFonts w:hint="eastAsia" w:ascii="DengXian" w:hAnsi="DengXian" w:eastAsia="DengXian" w:cs="Times New Roman"/>
          <w:sz w:val="22"/>
        </w:rPr>
        <w:t>申请材料</w:t>
      </w:r>
    </w:p>
    <w:p>
      <w:pPr>
        <w:spacing w:line="276" w:lineRule="auto"/>
        <w:rPr>
          <w:rFonts w:ascii="DengXian" w:hAnsi="DengXian" w:eastAsia="DengXian" w:cs="Times New Roman"/>
          <w:sz w:val="22"/>
        </w:rPr>
      </w:pPr>
      <w:r>
        <w:rPr>
          <w:rFonts w:hint="eastAsia" w:ascii="DengXian" w:hAnsi="DengXian" w:eastAsia="DengXian" w:cs="Times New Roman"/>
          <w:sz w:val="22"/>
        </w:rPr>
        <w:t>关于申请材料的问题，中国办公室老师会提供咨询和指导。在确认申请材料无误后将统一发送给学校以获取I-20和录取通知书。</w:t>
      </w:r>
    </w:p>
    <w:p>
      <w:pPr>
        <w:spacing w:line="276" w:lineRule="auto"/>
        <w:rPr>
          <w:rFonts w:ascii="DengXian" w:hAnsi="DengXian" w:eastAsia="DengXian" w:cs="Times New Roman"/>
          <w:sz w:val="22"/>
        </w:rPr>
      </w:pPr>
    </w:p>
    <w:p>
      <w:pPr>
        <w:spacing w:line="276" w:lineRule="auto"/>
        <w:rPr>
          <w:rFonts w:ascii="DengXian" w:hAnsi="DengXian" w:eastAsia="DengXian" w:cs="Times New Roman"/>
          <w:sz w:val="22"/>
        </w:rPr>
      </w:pPr>
      <w:r>
        <w:rPr>
          <w:rFonts w:ascii="DengXian" w:hAnsi="DengXian" w:eastAsia="DengXian" w:cs="Times New Roman"/>
          <w:sz w:val="22"/>
        </w:rPr>
        <w:t xml:space="preserve">2. </w:t>
      </w:r>
      <w:r>
        <w:rPr>
          <w:rFonts w:hint="eastAsia" w:ascii="DengXian" w:hAnsi="DengXian" w:eastAsia="DengXian" w:cs="Times New Roman"/>
          <w:sz w:val="22"/>
        </w:rPr>
        <w:t>选课问题</w:t>
      </w:r>
    </w:p>
    <w:p>
      <w:pPr>
        <w:spacing w:line="276" w:lineRule="auto"/>
        <w:rPr>
          <w:rFonts w:ascii="DengXian" w:hAnsi="DengXian" w:eastAsia="DengXian" w:cs="Times New Roman"/>
          <w:sz w:val="22"/>
        </w:rPr>
      </w:pPr>
      <w:r>
        <w:rPr>
          <w:rFonts w:hint="eastAsia" w:ascii="DengXian" w:hAnsi="DengXian" w:eastAsia="DengXian" w:cs="Times New Roman"/>
          <w:sz w:val="22"/>
        </w:rPr>
        <w:t>学生需自己从所在学校拿到所申请学期或学年的课表和国内需要修的课程计划，对比圣路易大学的课程列表选出课程。圣路易大学中国办公室的老师将根据学生所在大学的具体情况提供一对一辅导，确认课表之后在学校注册课程（注：课程代码为1</w:t>
      </w:r>
      <w:r>
        <w:rPr>
          <w:rFonts w:ascii="DengXian" w:hAnsi="DengXian" w:eastAsia="DengXian" w:cs="Times New Roman"/>
          <w:sz w:val="22"/>
        </w:rPr>
        <w:t>-4</w:t>
      </w:r>
      <w:r>
        <w:rPr>
          <w:rFonts w:hint="eastAsia" w:ascii="DengXian" w:hAnsi="DengXian" w:eastAsia="DengXian" w:cs="Times New Roman"/>
          <w:sz w:val="22"/>
        </w:rPr>
        <w:t>开头的是本科生课程）。特别提示：在入学后第一周学生有机会根据实际情况对所选课程做出调整：</w:t>
      </w:r>
    </w:p>
    <w:p>
      <w:pPr>
        <w:spacing w:line="276" w:lineRule="auto"/>
        <w:rPr>
          <w:rFonts w:ascii="DengXian" w:hAnsi="DengXian" w:eastAsia="DengXian" w:cs="Times New Roman"/>
          <w:sz w:val="22"/>
        </w:rPr>
      </w:pPr>
      <w:r>
        <w:fldChar w:fldCharType="begin"/>
      </w:r>
      <w:r>
        <w:instrText xml:space="preserve"> HYPERLINK "https://catalog.slu.edu/courses-az/" </w:instrText>
      </w:r>
      <w:r>
        <w:fldChar w:fldCharType="separate"/>
      </w:r>
      <w:r>
        <w:rPr>
          <w:rStyle w:val="7"/>
          <w:rFonts w:ascii="DengXian" w:hAnsi="DengXian" w:eastAsia="DengXian" w:cs="Times New Roman"/>
          <w:sz w:val="22"/>
        </w:rPr>
        <w:t>https://catalog.slu.edu/courses-az/</w:t>
      </w:r>
      <w:r>
        <w:rPr>
          <w:rStyle w:val="7"/>
          <w:rFonts w:ascii="DengXian" w:hAnsi="DengXian" w:eastAsia="DengXian" w:cs="Times New Roman"/>
          <w:sz w:val="22"/>
        </w:rPr>
        <w:fldChar w:fldCharType="end"/>
      </w:r>
    </w:p>
    <w:p>
      <w:pPr>
        <w:spacing w:line="276" w:lineRule="auto"/>
        <w:rPr>
          <w:rFonts w:ascii="DengXian" w:hAnsi="DengXian" w:eastAsia="DengXian" w:cs="Times New Roman"/>
          <w:sz w:val="22"/>
        </w:rPr>
      </w:pPr>
    </w:p>
    <w:p>
      <w:pPr>
        <w:spacing w:line="276" w:lineRule="auto"/>
        <w:rPr>
          <w:rFonts w:ascii="DengXian" w:hAnsi="DengXian" w:eastAsia="DengXian" w:cs="Times New Roman"/>
          <w:sz w:val="22"/>
        </w:rPr>
      </w:pPr>
      <w:r>
        <w:rPr>
          <w:rFonts w:ascii="DengXian" w:hAnsi="DengXian" w:eastAsia="DengXian" w:cs="Times New Roman"/>
          <w:sz w:val="22"/>
        </w:rPr>
        <w:t xml:space="preserve">3. </w:t>
      </w:r>
      <w:r>
        <w:rPr>
          <w:rFonts w:hint="eastAsia" w:ascii="DengXian" w:hAnsi="DengXian" w:eastAsia="DengXian" w:cs="Times New Roman"/>
          <w:sz w:val="22"/>
        </w:rPr>
        <w:t>签证问题</w:t>
      </w:r>
    </w:p>
    <w:p>
      <w:pPr>
        <w:spacing w:line="276" w:lineRule="auto"/>
        <w:rPr>
          <w:rFonts w:ascii="DengXian" w:hAnsi="DengXian" w:eastAsia="DengXian" w:cs="Times New Roman"/>
          <w:sz w:val="22"/>
        </w:rPr>
      </w:pPr>
      <w:r>
        <w:rPr>
          <w:rFonts w:hint="eastAsia" w:ascii="DengXian" w:hAnsi="DengXian" w:eastAsia="DengXian" w:cs="Times New Roman"/>
          <w:sz w:val="22"/>
        </w:rPr>
        <w:t>圣路易斯大学的访问生将持F-1学生签证，对于签证办理中国办公室的老师可以给出一些指导意见，学校也会根据实际情况提供帮助，但是签证需要学生自行办理，包括预约、缴纳SEVIS</w:t>
      </w:r>
      <w:r>
        <w:rPr>
          <w:rFonts w:ascii="DengXian" w:hAnsi="DengXian" w:eastAsia="DengXian" w:cs="Times New Roman"/>
          <w:sz w:val="22"/>
        </w:rPr>
        <w:t xml:space="preserve"> </w:t>
      </w:r>
      <w:r>
        <w:rPr>
          <w:rFonts w:hint="eastAsia" w:ascii="DengXian" w:hAnsi="DengXian" w:eastAsia="DengXian" w:cs="Times New Roman"/>
          <w:sz w:val="22"/>
        </w:rPr>
        <w:t>fee和面签。</w:t>
      </w:r>
    </w:p>
    <w:p>
      <w:pPr>
        <w:spacing w:line="276" w:lineRule="auto"/>
        <w:rPr>
          <w:rFonts w:ascii="DengXian" w:hAnsi="DengXian" w:eastAsia="DengXian" w:cs="Times New Roman"/>
          <w:sz w:val="22"/>
        </w:rPr>
      </w:pPr>
    </w:p>
    <w:p>
      <w:pPr>
        <w:spacing w:line="276" w:lineRule="auto"/>
        <w:rPr>
          <w:rFonts w:ascii="DengXian" w:hAnsi="DengXian" w:eastAsia="DengXian" w:cs="Times New Roman"/>
          <w:sz w:val="22"/>
        </w:rPr>
      </w:pPr>
      <w:r>
        <w:rPr>
          <w:rFonts w:ascii="DengXian" w:hAnsi="DengXian" w:eastAsia="DengXian" w:cs="Times New Roman"/>
          <w:sz w:val="22"/>
        </w:rPr>
        <w:t xml:space="preserve">4. </w:t>
      </w:r>
      <w:r>
        <w:rPr>
          <w:rFonts w:hint="eastAsia" w:ascii="DengXian" w:hAnsi="DengXian" w:eastAsia="DengXian" w:cs="Times New Roman"/>
          <w:sz w:val="22"/>
        </w:rPr>
        <w:t>学费问题</w:t>
      </w:r>
    </w:p>
    <w:p>
      <w:pPr>
        <w:spacing w:line="276" w:lineRule="auto"/>
        <w:rPr>
          <w:rFonts w:ascii="DengXian" w:hAnsi="DengXian" w:eastAsia="DengXian" w:cs="Times New Roman"/>
          <w:sz w:val="22"/>
        </w:rPr>
      </w:pPr>
      <w:r>
        <w:rPr>
          <w:rFonts w:hint="eastAsia" w:ascii="DengXian" w:hAnsi="DengXian" w:eastAsia="DengXian" w:cs="Times New Roman"/>
          <w:sz w:val="22"/>
        </w:rPr>
        <w:t>学费包括4门课的学费、住宿餐饮费用和校园设施使用费，学生需将学费交到美国校本部。学习期间还将根据需要额外产生书本费、洗衣费、打印费、办理手机卡等费用，由学生自己支付。另外，根据F-1签证的要求，学生需购买医疗保险。</w:t>
      </w:r>
    </w:p>
    <w:p>
      <w:pPr>
        <w:spacing w:line="276" w:lineRule="auto"/>
        <w:rPr>
          <w:rFonts w:ascii="DengXian" w:hAnsi="DengXian" w:eastAsia="DengXian" w:cs="Times New Roman"/>
          <w:sz w:val="22"/>
        </w:rPr>
      </w:pPr>
    </w:p>
    <w:p>
      <w:pPr>
        <w:spacing w:line="276" w:lineRule="auto"/>
        <w:rPr>
          <w:rFonts w:ascii="DengXian" w:hAnsi="DengXian" w:eastAsia="DengXian" w:cs="Times New Roman"/>
          <w:sz w:val="22"/>
        </w:rPr>
      </w:pPr>
      <w:r>
        <w:rPr>
          <w:rFonts w:ascii="DengXian" w:hAnsi="DengXian" w:eastAsia="DengXian" w:cs="Times New Roman"/>
          <w:sz w:val="22"/>
        </w:rPr>
        <w:t xml:space="preserve">5. </w:t>
      </w:r>
      <w:r>
        <w:rPr>
          <w:rFonts w:hint="eastAsia" w:ascii="DengXian" w:hAnsi="DengXian" w:eastAsia="DengXian" w:cs="Times New Roman"/>
          <w:sz w:val="22"/>
        </w:rPr>
        <w:t>出行问题</w:t>
      </w:r>
    </w:p>
    <w:p>
      <w:pPr>
        <w:spacing w:line="276" w:lineRule="auto"/>
        <w:rPr>
          <w:rFonts w:ascii="DengXian" w:hAnsi="DengXian" w:eastAsia="DengXian" w:cs="Times New Roman"/>
          <w:sz w:val="22"/>
        </w:rPr>
      </w:pPr>
      <w:r>
        <w:rPr>
          <w:rFonts w:hint="eastAsia" w:ascii="DengXian" w:hAnsi="DengXian" w:eastAsia="DengXian" w:cs="Times New Roman"/>
          <w:sz w:val="22"/>
        </w:rPr>
        <w:t>学生需自行购买从所在城市到学校的往返机票。学校有接机服务和新生orientation活动，为大家介绍校园和各类生活设施。</w:t>
      </w:r>
    </w:p>
    <w:p>
      <w:pPr>
        <w:spacing w:line="276" w:lineRule="auto"/>
        <w:rPr>
          <w:rFonts w:ascii="DengXian" w:hAnsi="DengXian" w:eastAsia="DengXian" w:cs="Times New Roman"/>
          <w:sz w:val="22"/>
        </w:rPr>
      </w:pPr>
    </w:p>
    <w:p>
      <w:pPr>
        <w:spacing w:line="276" w:lineRule="auto"/>
        <w:rPr>
          <w:rFonts w:ascii="DengXian" w:hAnsi="DengXian" w:eastAsia="DengXian" w:cs="Times New Roman"/>
          <w:sz w:val="22"/>
        </w:rPr>
      </w:pPr>
      <w:r>
        <w:rPr>
          <w:rFonts w:ascii="DengXian" w:hAnsi="DengXian" w:eastAsia="DengXian" w:cs="Times New Roman"/>
          <w:sz w:val="22"/>
        </w:rPr>
        <w:t xml:space="preserve">6. </w:t>
      </w:r>
      <w:r>
        <w:rPr>
          <w:rFonts w:hint="eastAsia" w:ascii="DengXian" w:hAnsi="DengXian" w:eastAsia="DengXian" w:cs="Times New Roman"/>
          <w:sz w:val="22"/>
        </w:rPr>
        <w:t>住宿问题</w:t>
      </w:r>
    </w:p>
    <w:p>
      <w:pPr>
        <w:spacing w:line="276" w:lineRule="auto"/>
        <w:rPr>
          <w:rFonts w:ascii="DengXian" w:hAnsi="DengXian" w:eastAsia="DengXian" w:cs="Times New Roman"/>
          <w:sz w:val="22"/>
        </w:rPr>
      </w:pPr>
      <w:r>
        <w:rPr>
          <w:rFonts w:hint="eastAsia" w:ascii="DengXian" w:hAnsi="DengXian" w:eastAsia="DengXian" w:cs="Times New Roman"/>
          <w:sz w:val="22"/>
        </w:rPr>
        <w:t>项目费用里包含住宿费，选择美国校区的同学将被统一安排到学生宿舍。学校有不同的宿舍楼和不同规格的房间，具体。详情可以查看学校网站：</w:t>
      </w:r>
    </w:p>
    <w:p>
      <w:pPr>
        <w:spacing w:line="276" w:lineRule="auto"/>
        <w:rPr>
          <w:rFonts w:ascii="DengXian" w:hAnsi="DengXian" w:eastAsia="DengXian" w:cs="Times New Roman"/>
          <w:sz w:val="22"/>
        </w:rPr>
      </w:pPr>
      <w:r>
        <w:fldChar w:fldCharType="begin"/>
      </w:r>
      <w:r>
        <w:instrText xml:space="preserve"> HYPERLINK "https://www.slu.edu/housing/" </w:instrText>
      </w:r>
      <w:r>
        <w:fldChar w:fldCharType="separate"/>
      </w:r>
      <w:r>
        <w:rPr>
          <w:rStyle w:val="7"/>
          <w:rFonts w:ascii="DengXian" w:hAnsi="DengXian" w:eastAsia="DengXian" w:cs="Times New Roman"/>
          <w:sz w:val="22"/>
        </w:rPr>
        <w:t>https://www.slu.edu/housing/</w:t>
      </w:r>
      <w:r>
        <w:rPr>
          <w:rStyle w:val="7"/>
          <w:rFonts w:ascii="DengXian" w:hAnsi="DengXian" w:eastAsia="DengXian" w:cs="Times New Roman"/>
          <w:sz w:val="22"/>
        </w:rPr>
        <w:fldChar w:fldCharType="end"/>
      </w:r>
    </w:p>
    <w:p>
      <w:pPr>
        <w:spacing w:line="276" w:lineRule="auto"/>
        <w:rPr>
          <w:rFonts w:ascii="DengXian" w:hAnsi="DengXian" w:eastAsia="DengXian" w:cs="Times New Roman"/>
          <w:sz w:val="22"/>
        </w:rPr>
      </w:pPr>
      <w:r>
        <w:rPr>
          <w:rFonts w:hint="eastAsia" w:ascii="DengXian" w:hAnsi="DengXian" w:eastAsia="DengXian" w:cs="Times New Roman"/>
          <w:sz w:val="22"/>
        </w:rPr>
        <w:t>选择西班牙校区的同学会住在当地居民家中，即</w:t>
      </w:r>
      <w:r>
        <w:rPr>
          <w:rFonts w:ascii="DengXian" w:hAnsi="DengXian" w:eastAsia="DengXian" w:cs="Times New Roman"/>
          <w:sz w:val="22"/>
        </w:rPr>
        <w:t>Home Stay.</w:t>
      </w:r>
    </w:p>
    <w:p>
      <w:pPr>
        <w:spacing w:line="276" w:lineRule="auto"/>
        <w:rPr>
          <w:rFonts w:ascii="DengXian" w:hAnsi="DengXian" w:eastAsia="DengXian" w:cs="Times New Roman"/>
          <w:sz w:val="22"/>
        </w:rPr>
      </w:pPr>
    </w:p>
    <w:p>
      <w:pPr>
        <w:spacing w:line="276" w:lineRule="auto"/>
        <w:rPr>
          <w:rFonts w:ascii="DengXian" w:hAnsi="DengXian" w:eastAsia="DengXian" w:cs="Times New Roman"/>
          <w:sz w:val="22"/>
        </w:rPr>
      </w:pPr>
      <w:r>
        <w:rPr>
          <w:rFonts w:ascii="DengXian" w:hAnsi="DengXian" w:eastAsia="DengXian" w:cs="Times New Roman"/>
          <w:sz w:val="22"/>
        </w:rPr>
        <w:t xml:space="preserve">7. </w:t>
      </w:r>
      <w:r>
        <w:rPr>
          <w:rFonts w:hint="eastAsia" w:ascii="DengXian" w:hAnsi="DengXian" w:eastAsia="DengXian" w:cs="Times New Roman"/>
          <w:sz w:val="22"/>
        </w:rPr>
        <w:t>餐饮问题</w:t>
      </w:r>
    </w:p>
    <w:p>
      <w:pPr>
        <w:spacing w:line="276" w:lineRule="auto"/>
        <w:rPr>
          <w:rFonts w:ascii="DengXian" w:hAnsi="DengXian" w:eastAsia="DengXian" w:cs="Times New Roman"/>
          <w:sz w:val="22"/>
        </w:rPr>
      </w:pPr>
      <w:r>
        <w:rPr>
          <w:rFonts w:hint="eastAsia" w:ascii="DengXian" w:hAnsi="DengXian" w:eastAsia="DengXian" w:cs="Times New Roman"/>
          <w:sz w:val="22"/>
        </w:rPr>
        <w:t>项目费用里包含餐饮费，选择美国校区的同学一日三餐都可以在学校食堂用餐，学校有不同风格的餐厅提供来自全球的美食，详情可以查看学校网站：</w:t>
      </w:r>
    </w:p>
    <w:p>
      <w:pPr>
        <w:spacing w:line="276" w:lineRule="auto"/>
        <w:rPr>
          <w:rFonts w:ascii="DengXian" w:hAnsi="DengXian" w:eastAsia="DengXian" w:cs="Times New Roman"/>
          <w:sz w:val="22"/>
        </w:rPr>
      </w:pPr>
      <w:r>
        <w:fldChar w:fldCharType="begin"/>
      </w:r>
      <w:r>
        <w:instrText xml:space="preserve"> HYPERLINK "https://www.slu.edu/housing/dine/" </w:instrText>
      </w:r>
      <w:r>
        <w:fldChar w:fldCharType="separate"/>
      </w:r>
      <w:r>
        <w:rPr>
          <w:rStyle w:val="7"/>
          <w:rFonts w:ascii="DengXian" w:hAnsi="DengXian" w:eastAsia="DengXian" w:cs="Times New Roman"/>
          <w:sz w:val="22"/>
        </w:rPr>
        <w:t>https://www.slu.edu/housing/dine/</w:t>
      </w:r>
      <w:r>
        <w:rPr>
          <w:rStyle w:val="7"/>
          <w:rFonts w:ascii="DengXian" w:hAnsi="DengXian" w:eastAsia="DengXian" w:cs="Times New Roman"/>
          <w:sz w:val="22"/>
        </w:rPr>
        <w:fldChar w:fldCharType="end"/>
      </w:r>
    </w:p>
    <w:p>
      <w:pPr>
        <w:spacing w:line="276" w:lineRule="auto"/>
        <w:rPr>
          <w:rFonts w:ascii="DengXian" w:hAnsi="DengXian" w:eastAsia="DengXian" w:cs="Times New Roman"/>
          <w:sz w:val="22"/>
        </w:rPr>
      </w:pPr>
      <w:r>
        <w:rPr>
          <w:rFonts w:hint="eastAsia" w:ascii="DengXian" w:hAnsi="DengXian" w:eastAsia="DengXian" w:cs="Times New Roman"/>
          <w:sz w:val="22"/>
        </w:rPr>
        <w:t>选择西班牙校区的同学因为住在当地居民家中，接待家庭负责提供每天的早餐和晚餐，午餐需要自己在学校食堂或者外面解决。</w:t>
      </w:r>
    </w:p>
    <w:p>
      <w:pPr>
        <w:spacing w:line="276" w:lineRule="auto"/>
        <w:rPr>
          <w:rFonts w:ascii="DengXian" w:hAnsi="DengXian" w:eastAsia="DengXian" w:cs="Times New Roman"/>
          <w:sz w:val="22"/>
        </w:rPr>
      </w:pPr>
    </w:p>
    <w:p>
      <w:pPr>
        <w:spacing w:line="276" w:lineRule="auto"/>
        <w:rPr>
          <w:rFonts w:ascii="DengXian" w:hAnsi="DengXian" w:eastAsia="DengXian" w:cs="Times New Roman"/>
          <w:sz w:val="22"/>
        </w:rPr>
      </w:pPr>
      <w:r>
        <w:rPr>
          <w:rFonts w:ascii="DengXian" w:hAnsi="DengXian" w:eastAsia="DengXian" w:cs="Times New Roman"/>
          <w:sz w:val="22"/>
        </w:rPr>
        <w:t xml:space="preserve">8. </w:t>
      </w:r>
      <w:r>
        <w:rPr>
          <w:rFonts w:hint="eastAsia" w:ascii="DengXian" w:hAnsi="DengXian" w:eastAsia="DengXian" w:cs="Times New Roman"/>
          <w:sz w:val="22"/>
        </w:rPr>
        <w:t>安全问题</w:t>
      </w:r>
    </w:p>
    <w:p>
      <w:pPr>
        <w:spacing w:line="276" w:lineRule="auto"/>
        <w:rPr>
          <w:rFonts w:ascii="DengXian" w:hAnsi="DengXian" w:eastAsia="DengXian" w:cs="Times New Roman"/>
          <w:sz w:val="22"/>
        </w:rPr>
      </w:pPr>
      <w:r>
        <w:rPr>
          <w:rFonts w:hint="eastAsia" w:ascii="DengXian" w:hAnsi="DengXian" w:eastAsia="DengXian" w:cs="Times New Roman"/>
          <w:sz w:val="22"/>
        </w:rPr>
        <w:t>访问生在美国集中住在学校宿舍，校区内2</w:t>
      </w:r>
      <w:r>
        <w:rPr>
          <w:rFonts w:ascii="DengXian" w:hAnsi="DengXian" w:eastAsia="DengXian" w:cs="Times New Roman"/>
          <w:sz w:val="22"/>
        </w:rPr>
        <w:t>4</w:t>
      </w:r>
      <w:r>
        <w:rPr>
          <w:rFonts w:hint="eastAsia" w:ascii="DengXian" w:hAnsi="DengXian" w:eastAsia="DengXian" w:cs="Times New Roman"/>
          <w:sz w:val="22"/>
        </w:rPr>
        <w:t>小时有校警巡逻，非常安全。在西班牙的校区位于大学城内，周围还有其他本地大学，居住地和校区之间有地铁和公共交通连接。</w:t>
      </w:r>
    </w:p>
    <w:p>
      <w:pPr>
        <w:spacing w:line="276" w:lineRule="auto"/>
        <w:rPr>
          <w:rFonts w:ascii="DengXian" w:hAnsi="DengXian" w:eastAsia="DengXian" w:cs="Times New Roman"/>
          <w:sz w:val="22"/>
        </w:rPr>
      </w:pPr>
    </w:p>
    <w:p>
      <w:pPr>
        <w:spacing w:line="276" w:lineRule="auto"/>
        <w:rPr>
          <w:rFonts w:ascii="DengXian" w:hAnsi="DengXian" w:eastAsia="DengXian" w:cs="Times New Roman"/>
          <w:sz w:val="22"/>
        </w:rPr>
      </w:pPr>
      <w:r>
        <w:rPr>
          <w:rFonts w:ascii="DengXian" w:hAnsi="DengXian" w:eastAsia="DengXian" w:cs="Times New Roman"/>
          <w:sz w:val="22"/>
        </w:rPr>
        <w:t>9</w:t>
      </w:r>
      <w:r>
        <w:rPr>
          <w:rFonts w:hint="eastAsia" w:ascii="DengXian" w:hAnsi="DengXian" w:eastAsia="DengXian" w:cs="Times New Roman"/>
          <w:sz w:val="22"/>
        </w:rPr>
        <w:t>.</w:t>
      </w:r>
      <w:r>
        <w:rPr>
          <w:rFonts w:ascii="DengXian" w:hAnsi="DengXian" w:eastAsia="DengXian" w:cs="Times New Roman"/>
          <w:sz w:val="22"/>
        </w:rPr>
        <w:t xml:space="preserve"> </w:t>
      </w:r>
      <w:r>
        <w:rPr>
          <w:rFonts w:hint="eastAsia" w:ascii="DengXian" w:hAnsi="DengXian" w:eastAsia="DengXian" w:cs="Times New Roman"/>
          <w:sz w:val="22"/>
        </w:rPr>
        <w:t>生活问题</w:t>
      </w:r>
    </w:p>
    <w:p>
      <w:pPr>
        <w:spacing w:line="276" w:lineRule="auto"/>
        <w:rPr>
          <w:rFonts w:ascii="DengXian" w:hAnsi="DengXian" w:eastAsia="DengXian" w:cs="Times New Roman"/>
          <w:sz w:val="22"/>
        </w:rPr>
      </w:pPr>
      <w:r>
        <w:rPr>
          <w:rFonts w:hint="eastAsia" w:ascii="DengXian" w:hAnsi="DengXian" w:eastAsia="DengXian" w:cs="Times New Roman"/>
          <w:sz w:val="22"/>
        </w:rPr>
        <w:t>访问生到达学校后，项目老师会安排大家熟悉学校和周围环境，带大家采购必需的日用品，并定期安排购物交通工具方便大家出行。平时有任何问题也可以随时联系到项目老师。</w:t>
      </w:r>
    </w:p>
    <w:p>
      <w:pPr>
        <w:spacing w:line="276" w:lineRule="auto"/>
        <w:rPr>
          <w:rFonts w:ascii="DengXian" w:hAnsi="DengXian" w:eastAsia="DengXian" w:cs="Times New Roman"/>
          <w:sz w:val="22"/>
        </w:rPr>
      </w:pPr>
    </w:p>
    <w:p>
      <w:pPr>
        <w:spacing w:line="276" w:lineRule="auto"/>
        <w:rPr>
          <w:rFonts w:ascii="DengXian" w:hAnsi="DengXian" w:eastAsia="DengXian" w:cs="Times New Roman"/>
          <w:sz w:val="22"/>
        </w:rPr>
      </w:pPr>
      <w:r>
        <w:rPr>
          <w:rFonts w:hint="eastAsia" w:ascii="DengXian" w:hAnsi="DengXian" w:eastAsia="DengXian" w:cs="Times New Roman"/>
          <w:sz w:val="22"/>
        </w:rPr>
        <w:t>1</w:t>
      </w:r>
      <w:r>
        <w:rPr>
          <w:rFonts w:ascii="DengXian" w:hAnsi="DengXian" w:eastAsia="DengXian" w:cs="Times New Roman"/>
          <w:sz w:val="22"/>
        </w:rPr>
        <w:t xml:space="preserve">0. </w:t>
      </w:r>
      <w:r>
        <w:rPr>
          <w:rFonts w:hint="eastAsia" w:ascii="DengXian" w:hAnsi="DengXian" w:eastAsia="DengXian" w:cs="Times New Roman"/>
          <w:sz w:val="22"/>
        </w:rPr>
        <w:t>学习问题</w:t>
      </w:r>
    </w:p>
    <w:p>
      <w:pPr>
        <w:spacing w:line="276" w:lineRule="auto"/>
        <w:rPr>
          <w:rFonts w:ascii="DengXian" w:hAnsi="DengXian" w:eastAsia="DengXian" w:cs="Times New Roman"/>
          <w:sz w:val="22"/>
        </w:rPr>
      </w:pPr>
      <w:r>
        <w:rPr>
          <w:rFonts w:hint="eastAsia" w:ascii="DengXian" w:hAnsi="DengXian" w:eastAsia="DengXian" w:cs="Times New Roman"/>
          <w:sz w:val="22"/>
        </w:rPr>
        <w:t>学校会有专门对接的项目老师，访问生的生活和学习问题可以咨询对接的老师。即使到了国外校区也可以随时联系中国办公室的老师获取帮助。</w:t>
      </w:r>
    </w:p>
    <w:p>
      <w:pPr>
        <w:spacing w:line="276" w:lineRule="auto"/>
        <w:rPr>
          <w:rFonts w:ascii="DengXian" w:hAnsi="DengXian" w:eastAsia="DengXian" w:cs="Times New Roman"/>
          <w:sz w:val="22"/>
        </w:rPr>
      </w:pPr>
    </w:p>
    <w:p>
      <w:pPr>
        <w:spacing w:line="276" w:lineRule="auto"/>
        <w:rPr>
          <w:rFonts w:ascii="DengXian" w:hAnsi="DengXian" w:eastAsia="DengXian" w:cs="Times New Roman"/>
          <w:sz w:val="22"/>
        </w:rPr>
      </w:pPr>
    </w:p>
    <w:p>
      <w:pPr>
        <w:spacing w:line="276" w:lineRule="auto"/>
        <w:rPr>
          <w:rFonts w:ascii="DengXian" w:hAnsi="DengXian" w:eastAsia="DengXian" w:cs="Times New Roman"/>
          <w:sz w:val="22"/>
        </w:rPr>
      </w:pPr>
    </w:p>
    <w:p>
      <w:pPr>
        <w:spacing w:line="276" w:lineRule="auto"/>
        <w:ind w:left="360"/>
        <w:rPr>
          <w:rFonts w:ascii="DengXian" w:hAnsi="DengXian" w:eastAsia="DengXian" w:cs="Times New Roman"/>
          <w:sz w:val="22"/>
        </w:rPr>
      </w:pPr>
    </w:p>
    <w:p>
      <w:pPr>
        <w:pStyle w:val="8"/>
        <w:spacing w:line="276" w:lineRule="auto"/>
        <w:ind w:left="420" w:firstLine="0" w:firstLineChars="0"/>
        <w:rPr>
          <w:rFonts w:ascii="DengXian" w:hAnsi="DengXian" w:eastAsia="DengXian" w:cs="Times New Roman"/>
          <w:sz w:val="22"/>
        </w:rPr>
      </w:pPr>
    </w:p>
    <w:p>
      <w:pPr>
        <w:spacing w:line="276" w:lineRule="auto"/>
        <w:ind w:left="420"/>
        <w:rPr>
          <w:rFonts w:ascii="DengXian" w:hAnsi="DengXian" w:eastAsia="DengXian" w:cs="Times New Roman"/>
          <w:sz w:val="22"/>
        </w:rPr>
      </w:pPr>
    </w:p>
    <w:p>
      <w:pPr>
        <w:spacing w:line="276" w:lineRule="auto"/>
        <w:ind w:left="360"/>
        <w:rPr>
          <w:rFonts w:ascii="DengXian" w:hAnsi="DengXian" w:eastAsia="DengXian" w:cs="Times New Roman"/>
          <w:sz w:val="22"/>
        </w:rPr>
      </w:pPr>
      <w:r>
        <w:drawing>
          <wp:inline distT="0" distB="0" distL="0" distR="0">
            <wp:extent cx="5274310" cy="3515995"/>
            <wp:effectExtent l="0" t="0" r="2540" b="8255"/>
            <wp:docPr id="19183582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58294"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pPr>
        <w:spacing w:line="276" w:lineRule="auto"/>
        <w:rPr>
          <w:rFonts w:ascii="DengXian" w:hAnsi="DengXian" w:eastAsia="DengXian" w:cs="Times New Roman"/>
          <w:sz w:val="22"/>
        </w:rPr>
      </w:pPr>
    </w:p>
    <w:p>
      <w:pPr>
        <w:spacing w:line="276" w:lineRule="auto"/>
        <w:rPr>
          <w:rFonts w:ascii="DengXian" w:hAnsi="DengXian" w:eastAsia="DengXian" w:cs="Times New Roman"/>
          <w:sz w:val="22"/>
        </w:rPr>
      </w:pPr>
    </w:p>
    <w:p>
      <w:pPr>
        <w:spacing w:line="276" w:lineRule="auto"/>
        <w:rPr>
          <w:rFonts w:ascii="DengXian" w:hAnsi="DengXian" w:eastAsia="DengXian" w:cs="Times New Roman"/>
          <w:sz w:val="22"/>
        </w:rPr>
      </w:pPr>
    </w:p>
    <w:p>
      <w:pPr>
        <w:spacing w:line="276" w:lineRule="auto"/>
        <w:rPr>
          <w:rFonts w:ascii="DengXian" w:hAnsi="DengXian" w:eastAsia="DengXian" w:cs="Times New Roman"/>
          <w:sz w:val="22"/>
        </w:rPr>
      </w:pPr>
    </w:p>
    <w:p>
      <w:pPr>
        <w:spacing w:line="276" w:lineRule="auto"/>
        <w:ind w:left="360"/>
        <w:rPr>
          <w:rFonts w:ascii="DengXian" w:hAnsi="DengXian" w:eastAsia="DengXian" w:cs="Times New Roman"/>
          <w:sz w:val="22"/>
        </w:rPr>
      </w:pPr>
      <w:r>
        <w:drawing>
          <wp:inline distT="0" distB="0" distL="0" distR="0">
            <wp:extent cx="5274310" cy="3956050"/>
            <wp:effectExtent l="0" t="0" r="2540" b="6350"/>
            <wp:docPr id="251603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0364"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pPr>
        <w:spacing w:line="276" w:lineRule="auto"/>
        <w:rPr>
          <w:rFonts w:ascii="DengXian" w:hAnsi="DengXian" w:eastAsia="DengXian" w:cs="Times New Roman"/>
          <w:sz w:val="22"/>
        </w:rPr>
      </w:pPr>
    </w:p>
    <w:p>
      <w:pPr>
        <w:spacing w:line="276" w:lineRule="auto"/>
        <w:ind w:left="360"/>
        <w:rPr>
          <w:rFonts w:ascii="DengXian" w:hAnsi="DengXian" w:eastAsia="DengXian" w:cs="Times New Roman"/>
          <w:sz w:val="22"/>
        </w:rPr>
      </w:pPr>
      <w:r>
        <w:drawing>
          <wp:inline distT="0" distB="0" distL="0" distR="0">
            <wp:extent cx="5274310" cy="3507105"/>
            <wp:effectExtent l="0" t="0" r="2540" b="0"/>
            <wp:docPr id="21443581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58126"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507105"/>
                    </a:xfrm>
                    <a:prstGeom prst="rect">
                      <a:avLst/>
                    </a:prstGeom>
                    <a:noFill/>
                    <a:ln>
                      <a:noFill/>
                    </a:ln>
                  </pic:spPr>
                </pic:pic>
              </a:graphicData>
            </a:graphic>
          </wp:inline>
        </w:drawing>
      </w:r>
    </w:p>
    <w:p>
      <w:pPr>
        <w:spacing w:line="276" w:lineRule="auto"/>
        <w:rPr>
          <w:rFonts w:ascii="DengXian" w:hAnsi="DengXian" w:eastAsia="DengXian" w:cs="Times New Roman"/>
          <w:sz w:val="22"/>
        </w:rPr>
      </w:pPr>
    </w:p>
    <w:p>
      <w:pPr>
        <w:spacing w:line="276" w:lineRule="auto"/>
        <w:rPr>
          <w:rFonts w:ascii="DengXian" w:hAnsi="DengXian" w:eastAsia="DengXian" w:cs="Times New Roman"/>
          <w:sz w:val="22"/>
        </w:rPr>
      </w:pPr>
    </w:p>
    <w:p>
      <w:pPr>
        <w:spacing w:line="276" w:lineRule="auto"/>
        <w:rPr>
          <w:rFonts w:ascii="DengXian" w:hAnsi="DengXian" w:eastAsia="DengXian" w:cs="Times New Roman"/>
          <w:sz w:val="22"/>
        </w:rPr>
      </w:pPr>
    </w:p>
    <w:p>
      <w:pPr>
        <w:spacing w:line="276" w:lineRule="auto"/>
        <w:rPr>
          <w:rFonts w:ascii="DengXian" w:hAnsi="DengXian" w:eastAsia="DengXian" w:cs="Times New Roman"/>
          <w:sz w:val="22"/>
        </w:rPr>
      </w:pPr>
      <w:r>
        <w:drawing>
          <wp:anchor distT="0" distB="0" distL="114300" distR="114300" simplePos="0" relativeHeight="251659264" behindDoc="0" locked="0" layoutInCell="1" allowOverlap="1">
            <wp:simplePos x="0" y="0"/>
            <wp:positionH relativeFrom="margin">
              <wp:align>center</wp:align>
            </wp:positionH>
            <wp:positionV relativeFrom="paragraph">
              <wp:posOffset>635</wp:posOffset>
            </wp:positionV>
            <wp:extent cx="4319905" cy="4319905"/>
            <wp:effectExtent l="0" t="0" r="4445" b="4445"/>
            <wp:wrapSquare wrapText="bothSides"/>
            <wp:docPr id="14502906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90622"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320000" cy="4320000"/>
                    </a:xfrm>
                    <a:prstGeom prst="rect">
                      <a:avLst/>
                    </a:prstGeom>
                    <a:noFill/>
                    <a:ln>
                      <a:noFill/>
                    </a:ln>
                  </pic:spPr>
                </pic:pic>
              </a:graphicData>
            </a:graphic>
          </wp:anchor>
        </w:drawing>
      </w:r>
    </w:p>
    <w:p>
      <w:pPr>
        <w:spacing w:line="276" w:lineRule="auto"/>
        <w:rPr>
          <w:rFonts w:ascii="DengXian" w:hAnsi="DengXian" w:eastAsia="DengXian" w:cs="Times New Roman"/>
          <w:sz w:val="22"/>
        </w:rPr>
      </w:pPr>
    </w:p>
    <w:p>
      <w:pPr>
        <w:spacing w:line="276" w:lineRule="auto"/>
        <w:rPr>
          <w:rFonts w:ascii="DengXian" w:hAnsi="DengXian" w:eastAsia="DengXian" w:cs="Times New Roman"/>
          <w:sz w:val="22"/>
        </w:rPr>
      </w:pPr>
      <w:r>
        <w:drawing>
          <wp:anchor distT="0" distB="0" distL="114300" distR="114300" simplePos="0" relativeHeight="251660288" behindDoc="0" locked="0" layoutInCell="1" allowOverlap="1">
            <wp:simplePos x="0" y="0"/>
            <wp:positionH relativeFrom="margin">
              <wp:posOffset>703580</wp:posOffset>
            </wp:positionH>
            <wp:positionV relativeFrom="paragraph">
              <wp:posOffset>4043045</wp:posOffset>
            </wp:positionV>
            <wp:extent cx="4319905" cy="4319905"/>
            <wp:effectExtent l="0" t="0" r="4445" b="4445"/>
            <wp:wrapSquare wrapText="bothSides"/>
            <wp:docPr id="1396195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9571"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20000" cy="4320000"/>
                    </a:xfrm>
                    <a:prstGeom prst="rect">
                      <a:avLst/>
                    </a:prstGeom>
                    <a:noFill/>
                    <a:ln>
                      <a:noFill/>
                    </a:ln>
                  </pic:spPr>
                </pic:pic>
              </a:graphicData>
            </a:graphic>
          </wp:anchor>
        </w:drawing>
      </w:r>
    </w:p>
    <w:sectPr>
      <w:headerReference r:id="rId3" w:type="default"/>
      <w:pgSz w:w="11906" w:h="16838"/>
      <w:pgMar w:top="1440" w:right="1440" w:bottom="1440" w:left="1440" w:header="851" w:footer="85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DengXian">
    <w:altName w:val="汉仪中等线KW"/>
    <w:panose1 w:val="02010600030101010101"/>
    <w:charset w:val="86"/>
    <w:family w:val="auto"/>
    <w:pitch w:val="default"/>
    <w:sig w:usb0="00000000" w:usb1="00000000" w:usb2="00000016" w:usb3="00000000" w:csb0="0004000F" w:csb1="00000000"/>
  </w:font>
  <w:font w:name="Courier New">
    <w:panose1 w:val="02070409020205090404"/>
    <w:charset w:val="00"/>
    <w:family w:val="modern"/>
    <w:pitch w:val="default"/>
    <w:sig w:usb0="E0000AFF" w:usb1="40007843" w:usb2="00000001" w:usb3="00000000" w:csb0="400001BF" w:csb1="DFF70000"/>
  </w:font>
  <w:font w:name="汉仪书宋二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334057"/>
    <w:multiLevelType w:val="multilevel"/>
    <w:tmpl w:val="08334057"/>
    <w:lvl w:ilvl="0" w:tentative="0">
      <w:start w:val="1"/>
      <w:numFmt w:val="japaneseCounting"/>
      <w:lvlText w:val="%1、"/>
      <w:lvlJc w:val="left"/>
      <w:pPr>
        <w:ind w:left="720" w:hanging="360"/>
      </w:pPr>
      <w:rPr>
        <w:rFonts w:hint="default"/>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C985895"/>
    <w:multiLevelType w:val="multilevel"/>
    <w:tmpl w:val="0C98589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EEC75E3"/>
    <w:multiLevelType w:val="multilevel"/>
    <w:tmpl w:val="1EEC75E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4E5673EA"/>
    <w:multiLevelType w:val="multilevel"/>
    <w:tmpl w:val="4E5673E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79D129B9"/>
    <w:multiLevelType w:val="multilevel"/>
    <w:tmpl w:val="79D129B9"/>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doNotDisplayPageBoundaries w:val="1"/>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E11"/>
    <w:rsid w:val="0002197C"/>
    <w:rsid w:val="0002371C"/>
    <w:rsid w:val="00045F0D"/>
    <w:rsid w:val="000510C3"/>
    <w:rsid w:val="00064FED"/>
    <w:rsid w:val="0007404E"/>
    <w:rsid w:val="00077AE3"/>
    <w:rsid w:val="00083EF2"/>
    <w:rsid w:val="00094A9C"/>
    <w:rsid w:val="00100741"/>
    <w:rsid w:val="0014623A"/>
    <w:rsid w:val="001A5FD7"/>
    <w:rsid w:val="001A639D"/>
    <w:rsid w:val="001B4CEE"/>
    <w:rsid w:val="001D05A5"/>
    <w:rsid w:val="001D5EE4"/>
    <w:rsid w:val="002038A2"/>
    <w:rsid w:val="00217A6A"/>
    <w:rsid w:val="00235D6B"/>
    <w:rsid w:val="00235E11"/>
    <w:rsid w:val="00247CA0"/>
    <w:rsid w:val="002553ED"/>
    <w:rsid w:val="00257DD2"/>
    <w:rsid w:val="002670AE"/>
    <w:rsid w:val="00273CD2"/>
    <w:rsid w:val="002963C2"/>
    <w:rsid w:val="0029724D"/>
    <w:rsid w:val="00297CB3"/>
    <w:rsid w:val="002A747A"/>
    <w:rsid w:val="002E13EB"/>
    <w:rsid w:val="002E2CEE"/>
    <w:rsid w:val="002E48D9"/>
    <w:rsid w:val="00300F26"/>
    <w:rsid w:val="00311765"/>
    <w:rsid w:val="00313906"/>
    <w:rsid w:val="0031789E"/>
    <w:rsid w:val="0032083C"/>
    <w:rsid w:val="00320B86"/>
    <w:rsid w:val="00322607"/>
    <w:rsid w:val="003819CC"/>
    <w:rsid w:val="003A7248"/>
    <w:rsid w:val="003B3C3E"/>
    <w:rsid w:val="003D265F"/>
    <w:rsid w:val="003E21C7"/>
    <w:rsid w:val="003F0007"/>
    <w:rsid w:val="00402EC8"/>
    <w:rsid w:val="00404545"/>
    <w:rsid w:val="00406FC8"/>
    <w:rsid w:val="00412DA0"/>
    <w:rsid w:val="00424BC1"/>
    <w:rsid w:val="00445001"/>
    <w:rsid w:val="00461841"/>
    <w:rsid w:val="004704FC"/>
    <w:rsid w:val="00476D04"/>
    <w:rsid w:val="004804CD"/>
    <w:rsid w:val="00481C93"/>
    <w:rsid w:val="004829EE"/>
    <w:rsid w:val="004B2235"/>
    <w:rsid w:val="004C0F82"/>
    <w:rsid w:val="004D46D7"/>
    <w:rsid w:val="004E1CB9"/>
    <w:rsid w:val="004F029A"/>
    <w:rsid w:val="004F6C30"/>
    <w:rsid w:val="00531D25"/>
    <w:rsid w:val="00570840"/>
    <w:rsid w:val="0057463A"/>
    <w:rsid w:val="0058569C"/>
    <w:rsid w:val="00591EA5"/>
    <w:rsid w:val="005943B4"/>
    <w:rsid w:val="005A4858"/>
    <w:rsid w:val="005A7172"/>
    <w:rsid w:val="005B05BB"/>
    <w:rsid w:val="005B38BA"/>
    <w:rsid w:val="005B7393"/>
    <w:rsid w:val="005C385F"/>
    <w:rsid w:val="00624E52"/>
    <w:rsid w:val="00633F8F"/>
    <w:rsid w:val="006707AB"/>
    <w:rsid w:val="006941D6"/>
    <w:rsid w:val="006A2DEB"/>
    <w:rsid w:val="006D50E5"/>
    <w:rsid w:val="006E168C"/>
    <w:rsid w:val="007067FB"/>
    <w:rsid w:val="0072624D"/>
    <w:rsid w:val="0072775B"/>
    <w:rsid w:val="007750AD"/>
    <w:rsid w:val="007923C0"/>
    <w:rsid w:val="007A2722"/>
    <w:rsid w:val="007B04D5"/>
    <w:rsid w:val="007B0B12"/>
    <w:rsid w:val="007C1E7A"/>
    <w:rsid w:val="007D62A4"/>
    <w:rsid w:val="007F7989"/>
    <w:rsid w:val="0081463A"/>
    <w:rsid w:val="00822CFD"/>
    <w:rsid w:val="0082614E"/>
    <w:rsid w:val="008341B6"/>
    <w:rsid w:val="00842AD1"/>
    <w:rsid w:val="00864070"/>
    <w:rsid w:val="00865951"/>
    <w:rsid w:val="0088641F"/>
    <w:rsid w:val="00897662"/>
    <w:rsid w:val="008C663D"/>
    <w:rsid w:val="008D1042"/>
    <w:rsid w:val="008D1B2B"/>
    <w:rsid w:val="008D326C"/>
    <w:rsid w:val="008F6F3E"/>
    <w:rsid w:val="00916A70"/>
    <w:rsid w:val="009300E3"/>
    <w:rsid w:val="00941639"/>
    <w:rsid w:val="0095520A"/>
    <w:rsid w:val="00960323"/>
    <w:rsid w:val="00965982"/>
    <w:rsid w:val="00975A1C"/>
    <w:rsid w:val="009765A4"/>
    <w:rsid w:val="00986093"/>
    <w:rsid w:val="00993918"/>
    <w:rsid w:val="00995E7D"/>
    <w:rsid w:val="00997A4B"/>
    <w:rsid w:val="009C391C"/>
    <w:rsid w:val="009D1668"/>
    <w:rsid w:val="009E6F4F"/>
    <w:rsid w:val="00A0336A"/>
    <w:rsid w:val="00A15ECF"/>
    <w:rsid w:val="00A2309C"/>
    <w:rsid w:val="00A4461C"/>
    <w:rsid w:val="00A45685"/>
    <w:rsid w:val="00A505CE"/>
    <w:rsid w:val="00A67C39"/>
    <w:rsid w:val="00A8505D"/>
    <w:rsid w:val="00A85753"/>
    <w:rsid w:val="00AA0CB2"/>
    <w:rsid w:val="00AB6A7A"/>
    <w:rsid w:val="00AC5646"/>
    <w:rsid w:val="00AE7518"/>
    <w:rsid w:val="00B05E21"/>
    <w:rsid w:val="00B11014"/>
    <w:rsid w:val="00B23224"/>
    <w:rsid w:val="00B27235"/>
    <w:rsid w:val="00B53261"/>
    <w:rsid w:val="00BB0944"/>
    <w:rsid w:val="00BB0B71"/>
    <w:rsid w:val="00BC5515"/>
    <w:rsid w:val="00BC587A"/>
    <w:rsid w:val="00C02A98"/>
    <w:rsid w:val="00C156D4"/>
    <w:rsid w:val="00C3081A"/>
    <w:rsid w:val="00C45DE4"/>
    <w:rsid w:val="00C86607"/>
    <w:rsid w:val="00CB75BC"/>
    <w:rsid w:val="00CD3BA9"/>
    <w:rsid w:val="00CE55EC"/>
    <w:rsid w:val="00CE6ADD"/>
    <w:rsid w:val="00D171EA"/>
    <w:rsid w:val="00D50E25"/>
    <w:rsid w:val="00D53CD0"/>
    <w:rsid w:val="00D5709C"/>
    <w:rsid w:val="00D61329"/>
    <w:rsid w:val="00D84A9A"/>
    <w:rsid w:val="00DB0682"/>
    <w:rsid w:val="00DD4C2C"/>
    <w:rsid w:val="00DE34A7"/>
    <w:rsid w:val="00E33B20"/>
    <w:rsid w:val="00E37332"/>
    <w:rsid w:val="00E5618E"/>
    <w:rsid w:val="00E74982"/>
    <w:rsid w:val="00E8231A"/>
    <w:rsid w:val="00E86204"/>
    <w:rsid w:val="00E97D45"/>
    <w:rsid w:val="00EA5B11"/>
    <w:rsid w:val="00EA774F"/>
    <w:rsid w:val="00EC75A5"/>
    <w:rsid w:val="00ED13C7"/>
    <w:rsid w:val="00EE5F74"/>
    <w:rsid w:val="00EF0AA3"/>
    <w:rsid w:val="00F10A82"/>
    <w:rsid w:val="00F35381"/>
    <w:rsid w:val="00F4252E"/>
    <w:rsid w:val="00F52DF0"/>
    <w:rsid w:val="00F57338"/>
    <w:rsid w:val="00F579D4"/>
    <w:rsid w:val="00F641BF"/>
    <w:rsid w:val="00F6587B"/>
    <w:rsid w:val="00F86A01"/>
    <w:rsid w:val="00FA5662"/>
    <w:rsid w:val="00FB40A4"/>
    <w:rsid w:val="00FF290A"/>
    <w:rsid w:val="70FBE2AF"/>
    <w:rsid w:val="7D7723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563C1" w:themeColor="hyperlink"/>
      <w:u w:val="single"/>
      <w14:textFill>
        <w14:solidFill>
          <w14:schemeClr w14:val="hlink"/>
        </w14:solidFill>
      </w14:textFill>
    </w:rPr>
  </w:style>
  <w:style w:type="paragraph" w:styleId="8">
    <w:name w:val="List Paragraph"/>
    <w:basedOn w:val="1"/>
    <w:qFormat/>
    <w:uiPriority w:val="34"/>
    <w:pPr>
      <w:ind w:firstLine="420" w:firstLineChars="200"/>
    </w:pPr>
  </w:style>
  <w:style w:type="character" w:customStyle="1" w:styleId="9">
    <w:name w:val="Header Char"/>
    <w:basedOn w:val="6"/>
    <w:link w:val="4"/>
    <w:uiPriority w:val="99"/>
    <w:rPr>
      <w:sz w:val="18"/>
      <w:szCs w:val="18"/>
    </w:rPr>
  </w:style>
  <w:style w:type="character" w:customStyle="1" w:styleId="10">
    <w:name w:val="Footer Char"/>
    <w:basedOn w:val="6"/>
    <w:link w:val="3"/>
    <w:qFormat/>
    <w:uiPriority w:val="99"/>
    <w:rPr>
      <w:sz w:val="18"/>
      <w:szCs w:val="18"/>
    </w:rPr>
  </w:style>
  <w:style w:type="character" w:customStyle="1" w:styleId="11">
    <w:name w:val="Balloon Text Char"/>
    <w:basedOn w:val="6"/>
    <w:link w:val="2"/>
    <w:semiHidden/>
    <w:qFormat/>
    <w:uiPriority w:val="99"/>
    <w:rPr>
      <w:sz w:val="18"/>
      <w:szCs w:val="18"/>
    </w:rPr>
  </w:style>
  <w:style w:type="paragraph" w:customStyle="1" w:styleId="12">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284</Words>
  <Characters>1623</Characters>
  <Lines>13</Lines>
  <Paragraphs>3</Paragraphs>
  <TotalTime>1</TotalTime>
  <ScaleCrop>false</ScaleCrop>
  <LinksUpToDate>false</LinksUpToDate>
  <CharactersWithSpaces>1904</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2024-01-08T09:30:00Z</dcterms:created>
  <dc:creator>Dell</dc:creator>
  <cp:lastModifiedBy>Eden</cp:lastModifiedBy>
  <cp:lastPrinted>2024-01-08T09:30:00Z</cp:lastPrinted>
  <dcterms:modified xsi:type="dcterms:W3CDTF">2024-02-22T09:58:18Z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D99D3EA98E41794E2EAAD665186AEB58_42</vt:lpwstr>
  </property>
</Properties>
</file>