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75AC" w14:textId="56E2DADF" w:rsidR="00DD702E" w:rsidRPr="00CD72F7" w:rsidRDefault="002961E9" w:rsidP="00F7350B">
      <w:pPr>
        <w:jc w:val="center"/>
      </w:pPr>
      <w:r>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18CF0244" w:rsidR="004F68FE" w:rsidRPr="00A8689D" w:rsidRDefault="00C3534F" w:rsidP="004F68FE">
      <w:pPr>
        <w:jc w:val="center"/>
        <w:rPr>
          <w:b/>
          <w:szCs w:val="22"/>
          <w:u w:val="single"/>
        </w:rPr>
      </w:pPr>
      <w:r>
        <w:rPr>
          <w:b/>
          <w:szCs w:val="22"/>
          <w:u w:val="single"/>
        </w:rPr>
        <w:t>TERMS OF REFERENCE</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42BE3F59" w:rsidR="00763913" w:rsidRPr="00CD461B" w:rsidRDefault="005517C9" w:rsidP="00771842">
            <w:pPr>
              <w:pStyle w:val="Title"/>
              <w:jc w:val="left"/>
              <w:rPr>
                <w:szCs w:val="22"/>
              </w:rPr>
            </w:pPr>
            <w:r w:rsidRPr="00CD461B">
              <w:rPr>
                <w:szCs w:val="22"/>
              </w:rPr>
              <w:t xml:space="preserve">Intern – </w:t>
            </w:r>
            <w:r w:rsidR="007435B1" w:rsidRPr="00CD461B">
              <w:rPr>
                <w:szCs w:val="22"/>
              </w:rPr>
              <w:t>Programme Unit</w:t>
            </w: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CD461B" w:rsidRDefault="005517C9" w:rsidP="00771842">
            <w:pPr>
              <w:pStyle w:val="Title"/>
              <w:jc w:val="left"/>
              <w:rPr>
                <w:szCs w:val="22"/>
              </w:rPr>
            </w:pPr>
            <w:r w:rsidRPr="00CD461B">
              <w:rPr>
                <w:szCs w:val="22"/>
              </w:rPr>
              <w:t>Other</w:t>
            </w:r>
          </w:p>
        </w:tc>
      </w:tr>
      <w:tr w:rsidR="00763913" w:rsidRPr="00CD72F7" w14:paraId="5237D9EC" w14:textId="77777777" w:rsidTr="00771842">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78A803F1" w:rsidR="00763913" w:rsidRPr="00CD461B" w:rsidRDefault="007435B1" w:rsidP="00771842">
            <w:pPr>
              <w:pStyle w:val="Title"/>
              <w:jc w:val="left"/>
              <w:rPr>
                <w:szCs w:val="22"/>
              </w:rPr>
            </w:pPr>
            <w:r w:rsidRPr="00CD461B">
              <w:rPr>
                <w:szCs w:val="22"/>
              </w:rPr>
              <w:t>Kuala Lumpur, Malaysia</w:t>
            </w:r>
          </w:p>
        </w:tc>
      </w:tr>
      <w:tr w:rsidR="00763913" w:rsidRPr="00CD72F7" w14:paraId="13A38849" w14:textId="77777777" w:rsidTr="00771842">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0EF26E8A" w:rsidR="00763913" w:rsidRPr="00CD461B" w:rsidRDefault="007435B1" w:rsidP="00771842">
            <w:pPr>
              <w:pStyle w:val="Title"/>
              <w:jc w:val="left"/>
              <w:rPr>
                <w:szCs w:val="22"/>
              </w:rPr>
            </w:pPr>
            <w:r w:rsidRPr="00CD461B">
              <w:rPr>
                <w:szCs w:val="22"/>
              </w:rPr>
              <w:t>Programme Unit</w:t>
            </w:r>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r>
              <w:rPr>
                <w:szCs w:val="22"/>
              </w:rPr>
              <w:t>O</w:t>
            </w:r>
            <w:r w:rsidRPr="00CD72F7">
              <w:rPr>
                <w:szCs w:val="22"/>
              </w:rPr>
              <w:t xml:space="preserve">ffice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6FF4A41B" w:rsidR="00763913" w:rsidRPr="00CD461B" w:rsidRDefault="007435B1" w:rsidP="00771842">
            <w:pPr>
              <w:pStyle w:val="Title"/>
              <w:jc w:val="left"/>
              <w:rPr>
                <w:szCs w:val="22"/>
              </w:rPr>
            </w:pPr>
            <w:r w:rsidRPr="00CD461B">
              <w:rPr>
                <w:szCs w:val="22"/>
              </w:rPr>
              <w:t>Country Office</w:t>
            </w:r>
          </w:p>
        </w:tc>
      </w:tr>
      <w:tr w:rsidR="00241BC9" w:rsidRPr="00CD72F7"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460496CF" w:rsidR="00241BC9" w:rsidRPr="00CD461B" w:rsidRDefault="007435B1" w:rsidP="00241BC9">
            <w:pPr>
              <w:pStyle w:val="Title"/>
              <w:rPr>
                <w:szCs w:val="22"/>
              </w:rPr>
            </w:pPr>
            <w:r w:rsidRPr="00CD461B">
              <w:rPr>
                <w:szCs w:val="22"/>
              </w:rPr>
              <w:t>National Officer</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9F3448" w:rsidRDefault="009F3448" w:rsidP="00241BC9">
            <w:pPr>
              <w:rPr>
                <w:b/>
                <w:szCs w:val="22"/>
                <w:u w:val="single"/>
              </w:rPr>
            </w:pPr>
            <w:r w:rsidRPr="00A16163">
              <w:rPr>
                <w:b/>
                <w:szCs w:val="22"/>
                <w:u w:val="single"/>
              </w:rPr>
              <w:t>Background Information</w:t>
            </w:r>
          </w:p>
          <w:p w14:paraId="03FB0492" w14:textId="3C6C9959" w:rsidR="007435B1" w:rsidRDefault="007435B1" w:rsidP="007435B1">
            <w:pPr>
              <w:pStyle w:val="Default"/>
              <w:jc w:val="both"/>
              <w:rPr>
                <w:color w:val="323232"/>
                <w:sz w:val="21"/>
                <w:szCs w:val="21"/>
              </w:rPr>
            </w:pPr>
            <w:r>
              <w:rPr>
                <w:color w:val="323232"/>
                <w:sz w:val="21"/>
                <w:szCs w:val="21"/>
              </w:rPr>
              <w:t xml:space="preserve">IOM works to help ensure the orderly and humane management of migration, to promote international cooperation on migration issues, to assist in the search for practical solutions to migration problems and to provide humanitarian assistance to migrants in need, including refugees and internally displaced people. </w:t>
            </w:r>
          </w:p>
          <w:p w14:paraId="2D43BC42" w14:textId="77777777" w:rsidR="007435B1" w:rsidRDefault="007435B1" w:rsidP="007435B1">
            <w:pPr>
              <w:pStyle w:val="Default"/>
              <w:jc w:val="both"/>
              <w:rPr>
                <w:color w:val="323232"/>
                <w:sz w:val="21"/>
                <w:szCs w:val="21"/>
              </w:rPr>
            </w:pPr>
          </w:p>
          <w:p w14:paraId="4FEB0F68" w14:textId="1A99EA0C" w:rsidR="007435B1" w:rsidRDefault="007435B1" w:rsidP="007435B1">
            <w:pPr>
              <w:pStyle w:val="Default"/>
              <w:jc w:val="both"/>
              <w:rPr>
                <w:color w:val="323232"/>
                <w:sz w:val="21"/>
                <w:szCs w:val="21"/>
              </w:rPr>
            </w:pPr>
            <w:r>
              <w:rPr>
                <w:color w:val="323232"/>
                <w:sz w:val="21"/>
                <w:szCs w:val="21"/>
              </w:rPr>
              <w:t xml:space="preserve">Key thematic areas of focus in the Malaysia include but not limited to Labour Mobility and Social Inclusion (LMI), Migrant Protection and Assistance (PXD), Migration Health and Refugee Resettlement programmes. </w:t>
            </w:r>
          </w:p>
          <w:p w14:paraId="1DB49F6F" w14:textId="77777777" w:rsidR="007435B1" w:rsidRDefault="007435B1" w:rsidP="007435B1">
            <w:pPr>
              <w:pStyle w:val="Default"/>
              <w:jc w:val="both"/>
              <w:rPr>
                <w:color w:val="323232"/>
                <w:sz w:val="21"/>
                <w:szCs w:val="21"/>
              </w:rPr>
            </w:pPr>
          </w:p>
          <w:p w14:paraId="5C50FD25" w14:textId="77777777" w:rsidR="007435B1" w:rsidRDefault="007435B1" w:rsidP="007435B1">
            <w:pPr>
              <w:rPr>
                <w:color w:val="323232"/>
                <w:sz w:val="21"/>
                <w:szCs w:val="21"/>
              </w:rPr>
            </w:pPr>
            <w:r>
              <w:rPr>
                <w:color w:val="323232"/>
                <w:sz w:val="21"/>
                <w:szCs w:val="21"/>
              </w:rPr>
              <w:t xml:space="preserve">IOM activities that cut across these areas include the promotion of international migration law, research, policy debate and guidance, protection of migrants' rights, migration health and the gender dimension of migration. </w:t>
            </w:r>
          </w:p>
          <w:p w14:paraId="7E2EAF1C" w14:textId="2A0C50D4" w:rsidR="009F3448" w:rsidRPr="00D17EEB" w:rsidRDefault="009F3448" w:rsidP="007435B1">
            <w:pPr>
              <w:rPr>
                <w:b/>
                <w:color w:val="E36C0A" w:themeColor="accent6" w:themeShade="BF"/>
                <w:szCs w:val="22"/>
                <w:u w:val="single"/>
              </w:rPr>
            </w:pPr>
            <w:r w:rsidRPr="00A16163">
              <w:rPr>
                <w:b/>
                <w:szCs w:val="22"/>
                <w:u w:val="single"/>
              </w:rPr>
              <w:t>Supervision</w:t>
            </w:r>
          </w:p>
          <w:p w14:paraId="31AE780A" w14:textId="225B1D9D" w:rsidR="00241BC9" w:rsidRPr="00E267D2" w:rsidRDefault="007435B1" w:rsidP="007435B1">
            <w:pPr>
              <w:rPr>
                <w:i/>
                <w:iCs/>
                <w:color w:val="FF0000"/>
              </w:rPr>
            </w:pPr>
            <w:r>
              <w:rPr>
                <w:color w:val="323232"/>
                <w:sz w:val="21"/>
                <w:szCs w:val="21"/>
              </w:rPr>
              <w:t>Working under the overall supervision of the Chief of Mission and under the direct supervision of the Programme Coordination and National Officers as relevant, the intern(s) will assist with the operational activities of the IOM Malaysia Migrant Protection and Assistance (PXD) and Labour Migration and Social Inclusion (LMI) Units.</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28875F70" w14:textId="7F49ACFB" w:rsidR="007435B1" w:rsidRDefault="007435B1" w:rsidP="007435B1">
            <w:pPr>
              <w:pStyle w:val="Default"/>
            </w:pPr>
          </w:p>
          <w:p w14:paraId="0CF1AF6B" w14:textId="5ADA60AC" w:rsidR="007435B1" w:rsidRPr="007435B1" w:rsidRDefault="007435B1" w:rsidP="007435B1">
            <w:pPr>
              <w:pStyle w:val="Default"/>
              <w:numPr>
                <w:ilvl w:val="0"/>
                <w:numId w:val="35"/>
              </w:numPr>
              <w:jc w:val="both"/>
              <w:rPr>
                <w:color w:val="323232"/>
                <w:sz w:val="21"/>
                <w:szCs w:val="21"/>
              </w:rPr>
            </w:pPr>
            <w:r>
              <w:rPr>
                <w:color w:val="323232"/>
                <w:sz w:val="21"/>
                <w:szCs w:val="21"/>
              </w:rPr>
              <w:t xml:space="preserve">Assist the Project Assistant(s) in the implementation and administrative support for the </w:t>
            </w:r>
            <w:r>
              <w:rPr>
                <w:color w:val="323232"/>
                <w:sz w:val="21"/>
                <w:szCs w:val="21"/>
              </w:rPr>
              <w:t xml:space="preserve"> s</w:t>
            </w:r>
            <w:r>
              <w:rPr>
                <w:color w:val="323232"/>
                <w:sz w:val="21"/>
                <w:szCs w:val="21"/>
              </w:rPr>
              <w:t>uccessful rollout of activities conducted in the PXD and LMI units</w:t>
            </w:r>
            <w:r>
              <w:rPr>
                <w:color w:val="323232"/>
                <w:sz w:val="21"/>
                <w:szCs w:val="21"/>
              </w:rPr>
              <w:t xml:space="preserve">. </w:t>
            </w:r>
            <w:r w:rsidRPr="007435B1">
              <w:rPr>
                <w:color w:val="323232"/>
                <w:sz w:val="21"/>
                <w:szCs w:val="21"/>
              </w:rPr>
              <w:t xml:space="preserve">Based on expertise and interest, the selected candidate(s) could contribute to activities including: </w:t>
            </w:r>
          </w:p>
          <w:p w14:paraId="2EE35125" w14:textId="77777777" w:rsidR="007435B1" w:rsidRDefault="007435B1" w:rsidP="007435B1">
            <w:pPr>
              <w:pStyle w:val="Default"/>
              <w:ind w:left="720"/>
              <w:jc w:val="both"/>
              <w:rPr>
                <w:color w:val="323232"/>
                <w:sz w:val="21"/>
                <w:szCs w:val="21"/>
              </w:rPr>
            </w:pPr>
            <w:r>
              <w:rPr>
                <w:rFonts w:ascii="Courier New" w:hAnsi="Courier New" w:cs="Courier New"/>
                <w:color w:val="323232"/>
                <w:sz w:val="21"/>
                <w:szCs w:val="21"/>
              </w:rPr>
              <w:t xml:space="preserve">o </w:t>
            </w:r>
            <w:r>
              <w:rPr>
                <w:color w:val="323232"/>
                <w:sz w:val="21"/>
                <w:szCs w:val="21"/>
              </w:rPr>
              <w:t xml:space="preserve">Research on migration issues and data collection, analysis and dissemination; </w:t>
            </w:r>
          </w:p>
          <w:p w14:paraId="61ACD7E6" w14:textId="77777777" w:rsidR="007435B1" w:rsidRDefault="007435B1" w:rsidP="007435B1">
            <w:pPr>
              <w:pStyle w:val="Default"/>
              <w:ind w:left="720"/>
              <w:jc w:val="both"/>
              <w:rPr>
                <w:color w:val="323232"/>
                <w:sz w:val="21"/>
                <w:szCs w:val="21"/>
              </w:rPr>
            </w:pPr>
            <w:r>
              <w:rPr>
                <w:rFonts w:ascii="Courier New" w:hAnsi="Courier New" w:cs="Courier New"/>
                <w:color w:val="323232"/>
                <w:sz w:val="21"/>
                <w:szCs w:val="21"/>
              </w:rPr>
              <w:t xml:space="preserve">o </w:t>
            </w:r>
            <w:r>
              <w:rPr>
                <w:color w:val="323232"/>
                <w:sz w:val="21"/>
                <w:szCs w:val="21"/>
              </w:rPr>
              <w:t xml:space="preserve">Capacity building programmes on topics relating to ethical recruitment, forced labour, trafficking in persons and others, as relevant; </w:t>
            </w:r>
          </w:p>
          <w:p w14:paraId="3EE37C21" w14:textId="77777777" w:rsidR="007435B1" w:rsidRDefault="007435B1" w:rsidP="007435B1">
            <w:pPr>
              <w:pStyle w:val="Default"/>
              <w:ind w:left="720"/>
              <w:jc w:val="both"/>
              <w:rPr>
                <w:color w:val="323232"/>
                <w:sz w:val="21"/>
                <w:szCs w:val="21"/>
              </w:rPr>
            </w:pPr>
            <w:r>
              <w:rPr>
                <w:rFonts w:ascii="Courier New" w:hAnsi="Courier New" w:cs="Courier New"/>
                <w:color w:val="323232"/>
                <w:sz w:val="21"/>
                <w:szCs w:val="21"/>
              </w:rPr>
              <w:t xml:space="preserve">o </w:t>
            </w:r>
            <w:r>
              <w:rPr>
                <w:color w:val="323232"/>
                <w:sz w:val="21"/>
                <w:szCs w:val="21"/>
              </w:rPr>
              <w:t xml:space="preserve">Direct assistance to vulnerable populations including implementation of cash-based interventions or support to case management and data entry; </w:t>
            </w:r>
          </w:p>
          <w:p w14:paraId="381DD535" w14:textId="77777777" w:rsidR="007435B1" w:rsidRDefault="007435B1" w:rsidP="007435B1">
            <w:pPr>
              <w:pStyle w:val="Default"/>
              <w:ind w:left="720"/>
              <w:jc w:val="both"/>
              <w:rPr>
                <w:color w:val="323232"/>
                <w:sz w:val="21"/>
                <w:szCs w:val="21"/>
              </w:rPr>
            </w:pPr>
            <w:r>
              <w:rPr>
                <w:rFonts w:ascii="Courier New" w:hAnsi="Courier New" w:cs="Courier New"/>
                <w:color w:val="323232"/>
                <w:sz w:val="21"/>
                <w:szCs w:val="21"/>
              </w:rPr>
              <w:t xml:space="preserve">o </w:t>
            </w:r>
            <w:r>
              <w:rPr>
                <w:color w:val="323232"/>
                <w:sz w:val="21"/>
                <w:szCs w:val="21"/>
              </w:rPr>
              <w:t xml:space="preserve">Private sector engagement on topics relating to LMI and PXD; </w:t>
            </w:r>
          </w:p>
          <w:p w14:paraId="05260C28" w14:textId="16DAA77B" w:rsidR="007435B1" w:rsidRDefault="007435B1" w:rsidP="007435B1">
            <w:pPr>
              <w:pStyle w:val="Default"/>
              <w:numPr>
                <w:ilvl w:val="0"/>
                <w:numId w:val="36"/>
              </w:numPr>
              <w:jc w:val="both"/>
              <w:rPr>
                <w:color w:val="323232"/>
                <w:sz w:val="21"/>
                <w:szCs w:val="21"/>
              </w:rPr>
            </w:pPr>
            <w:r>
              <w:rPr>
                <w:color w:val="323232"/>
                <w:sz w:val="21"/>
                <w:szCs w:val="21"/>
              </w:rPr>
              <w:t xml:space="preserve">Contribute and support Project Assistant(s) and National Officer(s) to the successful engagement with different stakeholders including government officials, UN </w:t>
            </w:r>
            <w:r>
              <w:rPr>
                <w:color w:val="323232"/>
                <w:sz w:val="21"/>
                <w:szCs w:val="21"/>
              </w:rPr>
              <w:lastRenderedPageBreak/>
              <w:t xml:space="preserve">Agencies, private sector, civil society organizations, academia and others to plan and successfully execute relevant activities; </w:t>
            </w:r>
          </w:p>
          <w:p w14:paraId="1FAD1BCC" w14:textId="0F0B801F" w:rsidR="007435B1" w:rsidRDefault="007435B1" w:rsidP="007435B1">
            <w:pPr>
              <w:pStyle w:val="Default"/>
              <w:numPr>
                <w:ilvl w:val="0"/>
                <w:numId w:val="36"/>
              </w:numPr>
              <w:jc w:val="both"/>
              <w:rPr>
                <w:color w:val="323232"/>
                <w:sz w:val="21"/>
                <w:szCs w:val="21"/>
              </w:rPr>
            </w:pPr>
            <w:r>
              <w:rPr>
                <w:color w:val="323232"/>
                <w:sz w:val="21"/>
                <w:szCs w:val="21"/>
              </w:rPr>
              <w:t xml:space="preserve">Assist the Project Assistant(s) in the drafting of correspondence and relevant documents including notes for file, reports, briefing notes, presentations, and other material as relevant; </w:t>
            </w:r>
          </w:p>
          <w:p w14:paraId="4F101C9A" w14:textId="473EEC98" w:rsidR="007435B1" w:rsidRDefault="007435B1" w:rsidP="007435B1">
            <w:pPr>
              <w:pStyle w:val="Default"/>
              <w:numPr>
                <w:ilvl w:val="0"/>
                <w:numId w:val="36"/>
              </w:numPr>
              <w:jc w:val="both"/>
              <w:rPr>
                <w:color w:val="323232"/>
                <w:sz w:val="21"/>
                <w:szCs w:val="21"/>
              </w:rPr>
            </w:pPr>
            <w:r>
              <w:rPr>
                <w:color w:val="323232"/>
                <w:sz w:val="21"/>
                <w:szCs w:val="21"/>
              </w:rPr>
              <w:t xml:space="preserve">Support in visibility efforts including for IOM social media platforms; </w:t>
            </w:r>
          </w:p>
          <w:p w14:paraId="38262254" w14:textId="2A68ACB3" w:rsidR="007435B1" w:rsidRDefault="007435B1" w:rsidP="007435B1">
            <w:pPr>
              <w:pStyle w:val="Default"/>
              <w:numPr>
                <w:ilvl w:val="0"/>
                <w:numId w:val="36"/>
              </w:numPr>
              <w:jc w:val="both"/>
              <w:rPr>
                <w:color w:val="323232"/>
                <w:sz w:val="21"/>
                <w:szCs w:val="21"/>
              </w:rPr>
            </w:pPr>
            <w:r>
              <w:rPr>
                <w:color w:val="323232"/>
                <w:sz w:val="21"/>
                <w:szCs w:val="21"/>
              </w:rPr>
              <w:t xml:space="preserve">Perform other related duties as assigned. </w:t>
            </w:r>
          </w:p>
          <w:p w14:paraId="0CB62BA4" w14:textId="77777777" w:rsidR="007435B1" w:rsidRDefault="007435B1" w:rsidP="007435B1">
            <w:pPr>
              <w:pStyle w:val="Default"/>
              <w:ind w:left="360"/>
              <w:jc w:val="both"/>
              <w:rPr>
                <w:color w:val="323232"/>
                <w:sz w:val="21"/>
                <w:szCs w:val="21"/>
              </w:rPr>
            </w:pPr>
          </w:p>
          <w:p w14:paraId="3B80ECCE" w14:textId="77777777" w:rsidR="008225E9" w:rsidRDefault="008225E9" w:rsidP="008225E9">
            <w:pPr>
              <w:rPr>
                <w:b/>
                <w:szCs w:val="22"/>
                <w:u w:val="single"/>
              </w:rPr>
            </w:pPr>
            <w:r w:rsidRPr="008225E9">
              <w:rPr>
                <w:b/>
                <w:szCs w:val="22"/>
                <w:u w:val="single"/>
              </w:rPr>
              <w:t>Training Components and Learning Elements</w:t>
            </w:r>
          </w:p>
          <w:p w14:paraId="4651D545" w14:textId="43CA4DD9" w:rsidR="008225E9" w:rsidRPr="00445855" w:rsidRDefault="007435B1" w:rsidP="008225E9">
            <w:pPr>
              <w:ind w:left="360" w:hanging="360"/>
              <w:rPr>
                <w:color w:val="FF0000"/>
              </w:rPr>
            </w:pPr>
            <w:r w:rsidRPr="007435B1">
              <w:rPr>
                <w:color w:val="323232"/>
                <w:sz w:val="21"/>
                <w:szCs w:val="21"/>
                <w:lang w:val="en-US" w:eastAsia="en-US"/>
              </w:rPr>
              <w:t>The intern will have access to IOM e-learning opportunitie</w:t>
            </w:r>
            <w:r>
              <w:rPr>
                <w:color w:val="323232"/>
                <w:sz w:val="21"/>
                <w:szCs w:val="21"/>
                <w:lang w:val="en-US" w:eastAsia="en-US"/>
              </w:rPr>
              <w:t xml:space="preserve">s and on the job guidance. </w:t>
            </w: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lastRenderedPageBreak/>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7B425E" w:rsidRPr="007B425E" w14:paraId="4A5FBB6A" w14:textId="77777777">
              <w:trPr>
                <w:trHeight w:val="324"/>
              </w:trPr>
              <w:tc>
                <w:tcPr>
                  <w:tcW w:w="0" w:type="auto"/>
                </w:tcPr>
                <w:p w14:paraId="6F5C7E21" w14:textId="09F477EF" w:rsidR="00241BC9" w:rsidRPr="007B425E" w:rsidRDefault="00241BC9" w:rsidP="00241BC9">
                  <w:pPr>
                    <w:spacing w:after="0"/>
                    <w:textAlignment w:val="baseline"/>
                    <w:rPr>
                      <w:color w:val="E36C0A" w:themeColor="accent6" w:themeShade="BF"/>
                    </w:rPr>
                  </w:pPr>
                </w:p>
              </w:tc>
            </w:tr>
            <w:tr w:rsidR="007B425E" w:rsidRPr="007B425E" w14:paraId="315B1FF0" w14:textId="77777777">
              <w:trPr>
                <w:trHeight w:val="324"/>
              </w:trPr>
              <w:tc>
                <w:tcPr>
                  <w:tcW w:w="0" w:type="auto"/>
                </w:tcPr>
                <w:p w14:paraId="6B9E421C" w14:textId="5B6E376D" w:rsidR="00241BC9" w:rsidRPr="007B425E" w:rsidRDefault="007435B1" w:rsidP="007435B1">
                  <w:pPr>
                    <w:pStyle w:val="Default"/>
                    <w:jc w:val="both"/>
                    <w:rPr>
                      <w:color w:val="E36C0A" w:themeColor="accent6" w:themeShade="BF"/>
                    </w:rPr>
                  </w:pPr>
                  <w:r>
                    <w:rPr>
                      <w:color w:val="323232"/>
                      <w:sz w:val="21"/>
                      <w:szCs w:val="21"/>
                    </w:rPr>
                    <w:t xml:space="preserve">a) </w:t>
                  </w:r>
                  <w:r>
                    <w:rPr>
                      <w:color w:val="323232"/>
                      <w:sz w:val="21"/>
                      <w:szCs w:val="21"/>
                    </w:rPr>
                    <w:t xml:space="preserve">Be enrolled in the final academic year of a first university degree programme or a related field from an accredited academic institution (minimum Bachelor’s level or equivalent); </w:t>
                  </w:r>
                  <w:r>
                    <w:rPr>
                      <w:b/>
                      <w:bCs/>
                      <w:color w:val="323232"/>
                      <w:sz w:val="21"/>
                      <w:szCs w:val="21"/>
                    </w:rPr>
                    <w:t xml:space="preserve">or </w:t>
                  </w:r>
                  <w:r>
                    <w:rPr>
                      <w:sz w:val="21"/>
                      <w:szCs w:val="21"/>
                    </w:rPr>
                    <w:t xml:space="preserve">b) Be enrolled in a graduate school programme (second university degree or equivalent, or higher); </w:t>
                  </w:r>
                  <w:r>
                    <w:rPr>
                      <w:b/>
                      <w:bCs/>
                      <w:sz w:val="21"/>
                      <w:szCs w:val="21"/>
                    </w:rPr>
                    <w:t xml:space="preserve">or </w:t>
                  </w:r>
                  <w:r>
                    <w:rPr>
                      <w:sz w:val="21"/>
                      <w:szCs w:val="21"/>
                    </w:rPr>
                    <w:t>c) Have graduated with a university degree (as defined in (a) or (b) above) and, if selected, must commence the internship within one year of graduation</w:t>
                  </w:r>
                </w:p>
              </w:tc>
            </w:tr>
          </w:tbl>
          <w:p w14:paraId="679D9111" w14:textId="0655D1C1" w:rsidR="00241BC9" w:rsidRPr="00397FA2" w:rsidRDefault="00241BC9"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2AC68204" w14:textId="77777777" w:rsidR="007435B1" w:rsidRDefault="007435B1" w:rsidP="007435B1">
            <w:pPr>
              <w:pStyle w:val="Default"/>
            </w:pPr>
          </w:p>
          <w:p w14:paraId="1C768ECD" w14:textId="65957F0C" w:rsidR="007435B1" w:rsidRDefault="007435B1" w:rsidP="007435B1">
            <w:pPr>
              <w:pStyle w:val="Default"/>
              <w:jc w:val="both"/>
              <w:rPr>
                <w:sz w:val="21"/>
                <w:szCs w:val="21"/>
              </w:rPr>
            </w:pPr>
            <w:r>
              <w:rPr>
                <w:sz w:val="21"/>
                <w:szCs w:val="21"/>
              </w:rPr>
              <w:t xml:space="preserve">• Proven demonstrated interest and experience in the area of human rights, including work or volunteering experience in working with vulnerable populations. </w:t>
            </w:r>
          </w:p>
          <w:p w14:paraId="0B50FC8F" w14:textId="77777777" w:rsidR="007435B1" w:rsidRDefault="007435B1" w:rsidP="007435B1">
            <w:pPr>
              <w:pStyle w:val="Default"/>
              <w:jc w:val="both"/>
              <w:rPr>
                <w:sz w:val="21"/>
                <w:szCs w:val="21"/>
              </w:rPr>
            </w:pPr>
            <w:r>
              <w:rPr>
                <w:sz w:val="21"/>
                <w:szCs w:val="21"/>
              </w:rPr>
              <w:t xml:space="preserve">• Good knowledge of MS Office and other relevant software. </w:t>
            </w:r>
          </w:p>
          <w:p w14:paraId="3CF5A243" w14:textId="77777777" w:rsidR="007435B1" w:rsidRDefault="007435B1" w:rsidP="007435B1">
            <w:pPr>
              <w:pStyle w:val="Default"/>
              <w:jc w:val="both"/>
              <w:rPr>
                <w:sz w:val="21"/>
                <w:szCs w:val="21"/>
              </w:rPr>
            </w:pPr>
            <w:r>
              <w:rPr>
                <w:sz w:val="21"/>
                <w:szCs w:val="21"/>
              </w:rPr>
              <w:t xml:space="preserve">• Ability to work as part of a multicultural, multilingual team. </w:t>
            </w:r>
          </w:p>
          <w:p w14:paraId="365EB38A" w14:textId="77777777" w:rsidR="007435B1" w:rsidRDefault="007435B1" w:rsidP="007435B1">
            <w:pPr>
              <w:pStyle w:val="Default"/>
              <w:jc w:val="both"/>
              <w:rPr>
                <w:sz w:val="21"/>
                <w:szCs w:val="21"/>
              </w:rPr>
            </w:pPr>
            <w:r>
              <w:rPr>
                <w:sz w:val="21"/>
                <w:szCs w:val="21"/>
              </w:rPr>
              <w:t xml:space="preserve">• Creativity, initiative and ability to work with minimal supervision. </w:t>
            </w:r>
          </w:p>
          <w:p w14:paraId="321EB30D" w14:textId="2F1EE2E7" w:rsidR="00241BC9" w:rsidRPr="00A675E2" w:rsidRDefault="00241BC9" w:rsidP="009F3448">
            <w:pPr>
              <w:pStyle w:val="ListParagraph"/>
              <w:numPr>
                <w:ilvl w:val="0"/>
                <w:numId w:val="0"/>
              </w:numPr>
              <w:ind w:left="360"/>
              <w:rPr>
                <w:szCs w:val="22"/>
              </w:rPr>
            </w:pP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601E181E" w14:textId="77777777" w:rsidR="007435B1" w:rsidRDefault="007435B1" w:rsidP="007435B1">
            <w:pPr>
              <w:pStyle w:val="Default"/>
            </w:pPr>
          </w:p>
          <w:p w14:paraId="7D901FF2" w14:textId="0AE069FE" w:rsidR="007435B1" w:rsidRDefault="007435B1" w:rsidP="007435B1">
            <w:pPr>
              <w:pStyle w:val="Default"/>
              <w:jc w:val="both"/>
              <w:rPr>
                <w:sz w:val="21"/>
                <w:szCs w:val="21"/>
              </w:rPr>
            </w:pPr>
            <w:r>
              <w:rPr>
                <w:sz w:val="21"/>
                <w:szCs w:val="21"/>
              </w:rPr>
              <w:t xml:space="preserve">The Internship Programme aims at attracting talented students and graduates who have a specific interest in, or whose studies have covered, areas relevant to IOM programmes and activities. </w:t>
            </w:r>
          </w:p>
          <w:p w14:paraId="350295F7" w14:textId="18C88835" w:rsidR="00241BC9" w:rsidRPr="007435B1" w:rsidRDefault="00241BC9" w:rsidP="009F3448">
            <w:pPr>
              <w:ind w:left="360" w:hanging="360"/>
              <w:rPr>
                <w:szCs w:val="22"/>
                <w:lang w:val="en-US"/>
              </w:rPr>
            </w:pP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3ADD71D4" w:rsidR="00241BC9" w:rsidRPr="007435B1" w:rsidRDefault="00241BC9" w:rsidP="00241BC9">
            <w:pPr>
              <w:spacing w:after="0"/>
              <w:rPr>
                <w:szCs w:val="22"/>
              </w:rPr>
            </w:pPr>
            <w:r w:rsidRPr="007435B1">
              <w:rPr>
                <w:szCs w:val="22"/>
                <w:lang w:val="en-US" w:eastAsia="en-US"/>
              </w:rPr>
              <w:t xml:space="preserve">Fluency in English and </w:t>
            </w:r>
            <w:r w:rsidR="007435B1" w:rsidRPr="007435B1">
              <w:rPr>
                <w:szCs w:val="22"/>
                <w:lang w:val="en-US" w:eastAsia="en-US"/>
              </w:rPr>
              <w:t>Malay is required</w:t>
            </w:r>
            <w:r w:rsidRPr="007435B1">
              <w:rPr>
                <w:szCs w:val="22"/>
                <w:lang w:val="en-US" w:eastAsia="en-US"/>
              </w:rPr>
              <w:t xml:space="preserve"> (oral and written).</w:t>
            </w:r>
          </w:p>
        </w:tc>
        <w:tc>
          <w:tcPr>
            <w:tcW w:w="4292" w:type="dxa"/>
            <w:tcBorders>
              <w:bottom w:val="single" w:sz="4" w:space="0" w:color="auto"/>
            </w:tcBorders>
            <w:shd w:val="clear" w:color="auto" w:fill="auto"/>
          </w:tcPr>
          <w:p w14:paraId="1ECF553D" w14:textId="77777777" w:rsidR="007435B1" w:rsidRDefault="007435B1" w:rsidP="007435B1">
            <w:pPr>
              <w:pStyle w:val="Default"/>
              <w:rPr>
                <w:color w:val="0D0D0D"/>
                <w:sz w:val="21"/>
                <w:szCs w:val="21"/>
              </w:rPr>
            </w:pPr>
            <w:r>
              <w:rPr>
                <w:color w:val="0D0D0D"/>
                <w:sz w:val="21"/>
                <w:szCs w:val="21"/>
              </w:rPr>
              <w:t xml:space="preserve">Knowledge </w:t>
            </w:r>
            <w:r w:rsidRPr="007435B1">
              <w:rPr>
                <w:color w:val="0D0D0D"/>
                <w:sz w:val="21"/>
                <w:szCs w:val="21"/>
              </w:rPr>
              <w:t>of another UN Language</w:t>
            </w:r>
            <w:r>
              <w:rPr>
                <w:color w:val="0D0D0D"/>
                <w:sz w:val="21"/>
                <w:szCs w:val="21"/>
              </w:rPr>
              <w:t xml:space="preserve"> will be considered as an asset. </w:t>
            </w:r>
          </w:p>
          <w:p w14:paraId="212B32E8" w14:textId="4E22035D" w:rsidR="00241BC9" w:rsidRPr="007435B1" w:rsidRDefault="00241BC9" w:rsidP="00241BC9">
            <w:pPr>
              <w:spacing w:after="0"/>
              <w:rPr>
                <w:szCs w:val="22"/>
                <w:lang w:val="en-US"/>
              </w:rPr>
            </w:pP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AC2CEB0" w:rsidR="00241BC9" w:rsidRPr="00CD72F7" w:rsidRDefault="00241BC9" w:rsidP="00241BC9">
            <w:pPr>
              <w:pStyle w:val="Heading1"/>
            </w:pPr>
            <w:r w:rsidRPr="00CD72F7">
              <w:t>VI. Competencies</w:t>
            </w:r>
          </w:p>
        </w:tc>
      </w:tr>
      <w:tr w:rsidR="00C3534F"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A34893" w14:textId="77777777" w:rsidR="00C3534F" w:rsidRPr="00C3534F" w:rsidRDefault="00C3534F" w:rsidP="00C3534F">
            <w:pPr>
              <w:spacing w:after="120"/>
              <w:rPr>
                <w:szCs w:val="22"/>
              </w:rPr>
            </w:pPr>
            <w:r w:rsidRPr="00C3534F">
              <w:rPr>
                <w:szCs w:val="22"/>
              </w:rPr>
              <w:t>The incumbent is expected to demonstrate the following values and competencies:</w:t>
            </w:r>
          </w:p>
          <w:p w14:paraId="172417DB" w14:textId="36F75E2A" w:rsidR="00C3534F" w:rsidRPr="00C3534F" w:rsidRDefault="00C3534F" w:rsidP="00C3534F">
            <w:pPr>
              <w:spacing w:after="120"/>
              <w:rPr>
                <w:b/>
                <w:szCs w:val="22"/>
              </w:rPr>
            </w:pPr>
            <w:r w:rsidRPr="00C3534F">
              <w:rPr>
                <w:b/>
                <w:szCs w:val="22"/>
              </w:rPr>
              <w:t xml:space="preserve">Values </w:t>
            </w:r>
            <w:r>
              <w:rPr>
                <w:bCs/>
                <w:szCs w:val="22"/>
              </w:rPr>
              <w:t xml:space="preserve">– </w:t>
            </w:r>
            <w:r w:rsidRPr="00C3534F">
              <w:rPr>
                <w:szCs w:val="22"/>
              </w:rPr>
              <w:t>all IOM staff members must abide by and demonstrate these three values:</w:t>
            </w:r>
          </w:p>
          <w:p w14:paraId="5EB3E7FA"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Inclusion and respect for diversity:</w:t>
            </w:r>
            <w:r w:rsidRPr="00C3534F">
              <w:rPr>
                <w:color w:val="000000"/>
                <w:szCs w:val="22"/>
              </w:rPr>
              <w:t xml:space="preserve"> </w:t>
            </w:r>
            <w:r w:rsidRPr="00C3534F">
              <w:rPr>
                <w:szCs w:val="22"/>
              </w:rPr>
              <w:t>respects and promotes individual and cultural differences; encourages diversity and inclusion wherever possible.</w:t>
            </w:r>
          </w:p>
          <w:p w14:paraId="36D73D3C"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lastRenderedPageBreak/>
              <w:t>Integrity and transparency:</w:t>
            </w:r>
            <w:r w:rsidRPr="00C3534F">
              <w:rPr>
                <w:szCs w:val="22"/>
              </w:rPr>
              <w:t xml:space="preserve"> maintains high ethical standards and acts in a manner consistent with organizational principles/rules and standards of conduct.</w:t>
            </w:r>
          </w:p>
          <w:p w14:paraId="7A54F159" w14:textId="5188A16C" w:rsidR="00C3534F" w:rsidRPr="00C3534F" w:rsidRDefault="00C3534F" w:rsidP="00C3534F">
            <w:pPr>
              <w:numPr>
                <w:ilvl w:val="0"/>
                <w:numId w:val="2"/>
              </w:numPr>
              <w:autoSpaceDE/>
              <w:autoSpaceDN/>
              <w:adjustRightInd/>
              <w:spacing w:after="120" w:line="210" w:lineRule="atLeast"/>
              <w:ind w:left="360" w:right="389"/>
              <w:contextualSpacing/>
              <w:rPr>
                <w:color w:val="000000"/>
                <w:szCs w:val="22"/>
              </w:rPr>
            </w:pPr>
            <w:r w:rsidRPr="00C3534F">
              <w:rPr>
                <w:color w:val="000000"/>
                <w:szCs w:val="22"/>
                <w:u w:val="single"/>
              </w:rPr>
              <w:t>Professionalism:</w:t>
            </w:r>
            <w:r w:rsidRPr="00C3534F">
              <w:rPr>
                <w:szCs w:val="22"/>
              </w:rPr>
              <w:t xml:space="preserve"> demonstrates ability to work in a composed, competent and committed manner and exercises careful judgment in meeting day-to-day challenges.</w:t>
            </w:r>
            <w:r>
              <w:rPr>
                <w:szCs w:val="22"/>
              </w:rPr>
              <w:br/>
            </w:r>
          </w:p>
          <w:p w14:paraId="27BBD945" w14:textId="77777777" w:rsidR="00C3534F" w:rsidRPr="00C3534F" w:rsidRDefault="00C3534F" w:rsidP="00C3534F">
            <w:pPr>
              <w:spacing w:after="120"/>
              <w:rPr>
                <w:b/>
                <w:szCs w:val="22"/>
              </w:rPr>
            </w:pPr>
            <w:r w:rsidRPr="00C3534F">
              <w:rPr>
                <w:b/>
                <w:szCs w:val="22"/>
              </w:rPr>
              <w:t xml:space="preserve">Core Competencies </w:t>
            </w:r>
            <w:r w:rsidRPr="00C3534F">
              <w:rPr>
                <w:szCs w:val="22"/>
              </w:rPr>
              <w:t xml:space="preserve">– behavioural indicators </w:t>
            </w:r>
            <w:r w:rsidRPr="00C3534F">
              <w:rPr>
                <w:i/>
                <w:szCs w:val="22"/>
              </w:rPr>
              <w:t>level 1</w:t>
            </w:r>
          </w:p>
          <w:p w14:paraId="6C8B024E" w14:textId="77777777" w:rsidR="00C3534F" w:rsidRPr="00C3534F" w:rsidRDefault="00C3534F" w:rsidP="00C3534F">
            <w:pPr>
              <w:numPr>
                <w:ilvl w:val="0"/>
                <w:numId w:val="3"/>
              </w:numPr>
              <w:autoSpaceDE/>
              <w:autoSpaceDN/>
              <w:adjustRightInd/>
              <w:spacing w:after="120" w:line="210" w:lineRule="atLeast"/>
              <w:ind w:left="360" w:right="386"/>
              <w:contextualSpacing/>
              <w:rPr>
                <w:color w:val="000000"/>
                <w:szCs w:val="22"/>
                <w:u w:val="single"/>
              </w:rPr>
            </w:pPr>
            <w:r w:rsidRPr="00C3534F">
              <w:rPr>
                <w:color w:val="000000"/>
                <w:szCs w:val="22"/>
                <w:u w:val="single"/>
              </w:rPr>
              <w:t>Teamwork</w:t>
            </w:r>
            <w:r w:rsidRPr="00C3534F">
              <w:rPr>
                <w:szCs w:val="22"/>
                <w:u w:val="single"/>
              </w:rPr>
              <w:t>:</w:t>
            </w:r>
            <w:r w:rsidRPr="00C3534F">
              <w:rPr>
                <w:color w:val="000000"/>
                <w:szCs w:val="22"/>
              </w:rPr>
              <w:t xml:space="preserve"> develops and promotes effective collaboration within and across units to achieve shared goals and optimize results.</w:t>
            </w:r>
          </w:p>
          <w:p w14:paraId="2BE46D2A"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Delivering results</w:t>
            </w:r>
            <w:r w:rsidRPr="00C3534F">
              <w:rPr>
                <w:szCs w:val="22"/>
                <w:u w:val="single"/>
              </w:rPr>
              <w:t>:</w:t>
            </w:r>
            <w:r w:rsidRPr="00C3534F">
              <w:rPr>
                <w:color w:val="000000"/>
                <w:szCs w:val="22"/>
              </w:rPr>
              <w:t xml:space="preserve"> </w:t>
            </w:r>
            <w:r w:rsidRPr="00C3534F">
              <w:rPr>
                <w:szCs w:val="22"/>
              </w:rPr>
              <w:t>p</w:t>
            </w:r>
            <w:r w:rsidRPr="00C3534F">
              <w:rPr>
                <w:color w:val="000000"/>
                <w:szCs w:val="22"/>
              </w:rPr>
              <w:t>roduces and delivers quality results in a service-oriented and timely manner</w:t>
            </w:r>
            <w:r w:rsidRPr="00C3534F">
              <w:rPr>
                <w:szCs w:val="22"/>
              </w:rPr>
              <w:t>;</w:t>
            </w:r>
            <w:r w:rsidRPr="00C3534F">
              <w:rPr>
                <w:color w:val="000000"/>
                <w:szCs w:val="22"/>
              </w:rPr>
              <w:t xml:space="preserve"> </w:t>
            </w:r>
            <w:r w:rsidRPr="00C3534F">
              <w:rPr>
                <w:szCs w:val="22"/>
              </w:rPr>
              <w:t>i</w:t>
            </w:r>
            <w:r w:rsidRPr="00C3534F">
              <w:rPr>
                <w:color w:val="000000"/>
                <w:szCs w:val="22"/>
              </w:rPr>
              <w:t>s action oriented and committed to achieving agreed outcomes.</w:t>
            </w:r>
          </w:p>
          <w:p w14:paraId="753C9D6D"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Managing and sharing knowledge</w:t>
            </w:r>
            <w:r w:rsidRPr="00C3534F">
              <w:rPr>
                <w:szCs w:val="22"/>
                <w:u w:val="single"/>
              </w:rPr>
              <w:t>:</w:t>
            </w:r>
            <w:r w:rsidRPr="00C3534F">
              <w:rPr>
                <w:color w:val="000000"/>
                <w:szCs w:val="22"/>
              </w:rPr>
              <w:t xml:space="preserve"> continuously seeks to learn, share knowledge and innovate</w:t>
            </w:r>
            <w:r w:rsidRPr="00C3534F">
              <w:rPr>
                <w:szCs w:val="22"/>
              </w:rPr>
              <w:t>.</w:t>
            </w:r>
          </w:p>
          <w:p w14:paraId="31704F24"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Accountability</w:t>
            </w:r>
            <w:r w:rsidRPr="00C3534F">
              <w:rPr>
                <w:szCs w:val="22"/>
                <w:u w:val="single"/>
              </w:rPr>
              <w:t>:</w:t>
            </w:r>
            <w:r w:rsidRPr="00C3534F">
              <w:rPr>
                <w:szCs w:val="22"/>
              </w:rPr>
              <w:t xml:space="preserve"> </w:t>
            </w:r>
            <w:r w:rsidRPr="00C3534F">
              <w:rPr>
                <w:color w:val="000000"/>
                <w:szCs w:val="22"/>
              </w:rPr>
              <w:t>takes ownership for achieving the Organization’s priorities and assumes responsibility for own action and delegated work.</w:t>
            </w:r>
          </w:p>
          <w:p w14:paraId="3C98EB53"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Communication:</w:t>
            </w:r>
            <w:r w:rsidRPr="00C3534F">
              <w:rPr>
                <w:color w:val="000000"/>
                <w:szCs w:val="22"/>
              </w:rPr>
              <w:t xml:space="preserve"> encourages and contributes to clear and open communication; explains complex matters in an informative, inspiring and motivational way.</w:t>
            </w:r>
          </w:p>
          <w:p w14:paraId="2222B530" w14:textId="039A61B6" w:rsidR="00C3534F" w:rsidRPr="007B425E" w:rsidRDefault="00C3534F" w:rsidP="00C3534F">
            <w:pPr>
              <w:contextualSpacing/>
            </w:pPr>
          </w:p>
        </w:tc>
      </w:tr>
      <w:tr w:rsidR="00C3534F"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1E802D27" w:rsidR="00C3534F" w:rsidRDefault="00C3534F" w:rsidP="00C3534F">
            <w:pPr>
              <w:rPr>
                <w:b/>
                <w:smallCaps/>
              </w:rPr>
            </w:pPr>
            <w:r>
              <w:rPr>
                <w:b/>
                <w:smallCaps/>
              </w:rPr>
              <w:lastRenderedPageBreak/>
              <w:t>Notes</w:t>
            </w:r>
          </w:p>
        </w:tc>
      </w:tr>
      <w:tr w:rsidR="00C3534F"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C3534F" w:rsidRPr="00A16163" w:rsidRDefault="00C3534F" w:rsidP="00C3534F">
            <w:pPr>
              <w:spacing w:after="0"/>
              <w:rPr>
                <w:b/>
                <w:szCs w:val="22"/>
                <w:u w:val="single"/>
              </w:rPr>
            </w:pPr>
            <w:r w:rsidRPr="00A16163">
              <w:rPr>
                <w:b/>
                <w:szCs w:val="22"/>
                <w:u w:val="single"/>
              </w:rPr>
              <w:t>Eligibility and Selection</w:t>
            </w:r>
          </w:p>
          <w:p w14:paraId="612CBCB7" w14:textId="77777777" w:rsidR="00C3534F" w:rsidRPr="00A16163" w:rsidRDefault="00C3534F" w:rsidP="00C3534F">
            <w:pPr>
              <w:spacing w:after="0"/>
              <w:rPr>
                <w:szCs w:val="22"/>
              </w:rPr>
            </w:pPr>
          </w:p>
          <w:p w14:paraId="0C509804" w14:textId="77777777" w:rsidR="00C3534F" w:rsidRPr="00A16163" w:rsidRDefault="00C3534F" w:rsidP="00C3534F">
            <w:pPr>
              <w:spacing w:after="0"/>
              <w:rPr>
                <w:szCs w:val="22"/>
              </w:rPr>
            </w:pPr>
            <w:r w:rsidRPr="00A16163">
              <w:rPr>
                <w:szCs w:val="22"/>
              </w:rPr>
              <w:t>In general, the Internship Programme aims at attracting talented students and graduates who:</w:t>
            </w:r>
          </w:p>
          <w:p w14:paraId="0AE49BA3" w14:textId="77777777" w:rsidR="00C3534F" w:rsidRPr="00A16163" w:rsidRDefault="00C3534F" w:rsidP="00C3534F">
            <w:pPr>
              <w:spacing w:after="0"/>
              <w:rPr>
                <w:szCs w:val="22"/>
              </w:rPr>
            </w:pPr>
          </w:p>
          <w:p w14:paraId="7F3368F2" w14:textId="77777777" w:rsidR="00C3534F" w:rsidRPr="00A16163" w:rsidRDefault="00C3534F" w:rsidP="00C3534F">
            <w:pPr>
              <w:spacing w:after="0"/>
              <w:rPr>
                <w:szCs w:val="22"/>
              </w:rPr>
            </w:pPr>
            <w:r w:rsidRPr="00A16163">
              <w:rPr>
                <w:szCs w:val="22"/>
              </w:rPr>
              <w:t>a) have a specific interest in, or whose studies have covered, areas relevant to IOM</w:t>
            </w:r>
          </w:p>
          <w:p w14:paraId="724DF69C" w14:textId="77777777" w:rsidR="00C3534F" w:rsidRPr="00A16163" w:rsidRDefault="00C3534F" w:rsidP="00C3534F">
            <w:pPr>
              <w:spacing w:after="0"/>
              <w:rPr>
                <w:szCs w:val="22"/>
              </w:rPr>
            </w:pPr>
            <w:r w:rsidRPr="00A16163">
              <w:rPr>
                <w:szCs w:val="22"/>
              </w:rPr>
              <w:t>programmes and activities;</w:t>
            </w:r>
          </w:p>
          <w:p w14:paraId="33FAB1B0" w14:textId="77777777" w:rsidR="00C3534F" w:rsidRPr="00A16163" w:rsidRDefault="00C3534F" w:rsidP="00C3534F">
            <w:pPr>
              <w:spacing w:after="0"/>
              <w:rPr>
                <w:szCs w:val="22"/>
              </w:rPr>
            </w:pPr>
          </w:p>
          <w:p w14:paraId="337F7FE2" w14:textId="77777777" w:rsidR="00C3534F" w:rsidRPr="00A16163" w:rsidRDefault="00C3534F" w:rsidP="00C3534F">
            <w:pPr>
              <w:spacing w:after="0"/>
              <w:rPr>
                <w:szCs w:val="22"/>
              </w:rPr>
            </w:pPr>
            <w:r w:rsidRPr="00A16163">
              <w:rPr>
                <w:szCs w:val="22"/>
              </w:rPr>
              <w:t>b) are holding a scholarship for internship placements in international organizations</w:t>
            </w:r>
          </w:p>
          <w:p w14:paraId="3D59DDDD" w14:textId="77777777" w:rsidR="00C3534F" w:rsidRPr="00A16163" w:rsidRDefault="00C3534F" w:rsidP="00C3534F">
            <w:pPr>
              <w:spacing w:after="0"/>
              <w:rPr>
                <w:szCs w:val="22"/>
              </w:rPr>
            </w:pPr>
            <w:r w:rsidRPr="00A16163">
              <w:rPr>
                <w:szCs w:val="22"/>
              </w:rPr>
              <w:t>and/or for whom internship is required to complete their studies; or</w:t>
            </w:r>
          </w:p>
          <w:p w14:paraId="3BA13C2E" w14:textId="77777777" w:rsidR="00C3534F" w:rsidRPr="00A16163" w:rsidRDefault="00C3534F" w:rsidP="00C3534F">
            <w:pPr>
              <w:spacing w:after="0"/>
              <w:rPr>
                <w:szCs w:val="22"/>
              </w:rPr>
            </w:pPr>
          </w:p>
          <w:p w14:paraId="338E82D5" w14:textId="77777777" w:rsidR="00C3534F" w:rsidRPr="00A16163" w:rsidRDefault="00C3534F" w:rsidP="00C3534F">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C3534F" w:rsidRPr="00A16163" w:rsidRDefault="00C3534F" w:rsidP="00C3534F">
            <w:pPr>
              <w:spacing w:after="0"/>
              <w:rPr>
                <w:szCs w:val="22"/>
              </w:rPr>
            </w:pPr>
          </w:p>
          <w:p w14:paraId="4EE7D3D8" w14:textId="77777777" w:rsidR="00C3534F" w:rsidRPr="00A16163" w:rsidRDefault="00C3534F" w:rsidP="00C3534F">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C3534F" w:rsidRPr="00A16163" w:rsidRDefault="00C3534F" w:rsidP="00C3534F">
            <w:pPr>
              <w:spacing w:after="0"/>
              <w:rPr>
                <w:szCs w:val="22"/>
              </w:rPr>
            </w:pPr>
          </w:p>
          <w:p w14:paraId="36E13F8C" w14:textId="77777777" w:rsidR="00C3534F" w:rsidRPr="00A16163" w:rsidRDefault="00C3534F" w:rsidP="00C3534F">
            <w:pPr>
              <w:spacing w:after="0"/>
              <w:rPr>
                <w:szCs w:val="22"/>
              </w:rPr>
            </w:pPr>
          </w:p>
          <w:p w14:paraId="7A4FADF4" w14:textId="77777777" w:rsidR="00C3534F" w:rsidRPr="00A16163" w:rsidRDefault="00C3534F" w:rsidP="00C3534F">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5BFF45B1" w14:textId="77777777" w:rsidR="00C3534F" w:rsidRDefault="00C3534F" w:rsidP="00C3534F">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Pr>
                <w:szCs w:val="22"/>
              </w:rPr>
              <w:t xml:space="preserve">the duty station </w:t>
            </w:r>
            <w:r w:rsidRPr="00A16163">
              <w:rPr>
                <w:szCs w:val="22"/>
              </w:rPr>
              <w:t>prior to applying.</w:t>
            </w:r>
          </w:p>
          <w:p w14:paraId="3DE714E4" w14:textId="61A6EDD7" w:rsidR="00C3534F" w:rsidRPr="00C3534F" w:rsidRDefault="00C3534F" w:rsidP="00C3534F">
            <w:pPr>
              <w:pStyle w:val="ListParagraph"/>
              <w:numPr>
                <w:ilvl w:val="0"/>
                <w:numId w:val="0"/>
              </w:numPr>
              <w:spacing w:before="0" w:after="0" w:line="210" w:lineRule="atLeast"/>
              <w:ind w:left="720" w:right="386"/>
              <w:contextualSpacing/>
              <w:rPr>
                <w:szCs w:val="22"/>
              </w:rPr>
            </w:pPr>
          </w:p>
        </w:tc>
      </w:tr>
      <w:tr w:rsidR="00C3534F"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C3534F" w:rsidRPr="0077226C" w:rsidRDefault="00C3534F" w:rsidP="00C3534F">
            <w:pPr>
              <w:spacing w:after="0"/>
              <w:rPr>
                <w:szCs w:val="22"/>
              </w:rPr>
            </w:pPr>
            <w:r w:rsidRPr="0077226C">
              <w:rPr>
                <w:szCs w:val="22"/>
              </w:rPr>
              <w:t>The appointment is subject to funding confirmation.</w:t>
            </w:r>
          </w:p>
          <w:p w14:paraId="290C40E6" w14:textId="77777777" w:rsidR="00C3534F" w:rsidRDefault="00C3534F" w:rsidP="00C3534F">
            <w:pPr>
              <w:spacing w:after="0"/>
              <w:rPr>
                <w:szCs w:val="22"/>
              </w:rPr>
            </w:pPr>
          </w:p>
          <w:p w14:paraId="56228E19" w14:textId="77777777" w:rsidR="00C3534F" w:rsidRPr="00A16163" w:rsidRDefault="00C3534F" w:rsidP="00C3534F">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C3534F" w:rsidRPr="00A16163" w:rsidRDefault="00C3534F" w:rsidP="00C3534F">
            <w:pPr>
              <w:spacing w:after="0"/>
              <w:rPr>
                <w:szCs w:val="22"/>
                <w:lang w:val="en"/>
              </w:rPr>
            </w:pPr>
          </w:p>
          <w:p w14:paraId="7B9112FB" w14:textId="77777777" w:rsidR="00C3534F" w:rsidRPr="00A16163" w:rsidRDefault="00C3534F" w:rsidP="00C3534F">
            <w:pPr>
              <w:spacing w:after="0"/>
              <w:rPr>
                <w:szCs w:val="22"/>
              </w:rPr>
            </w:pPr>
            <w:r w:rsidRPr="00A16163">
              <w:rPr>
                <w:szCs w:val="22"/>
                <w:lang w:val="en"/>
              </w:rPr>
              <w:t>No late applications will be accepted.</w:t>
            </w:r>
          </w:p>
        </w:tc>
      </w:tr>
      <w:tr w:rsidR="00C3534F" w:rsidRPr="00CD72F7" w14:paraId="0448DA2F"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BDDBA81" w14:textId="77777777" w:rsidR="00C3534F" w:rsidRPr="00A16163" w:rsidRDefault="00C3534F" w:rsidP="00C3534F">
            <w:pPr>
              <w:spacing w:after="0"/>
              <w:rPr>
                <w:b/>
                <w:szCs w:val="22"/>
                <w:u w:val="single"/>
              </w:rPr>
            </w:pPr>
          </w:p>
        </w:tc>
      </w:tr>
    </w:tbl>
    <w:p w14:paraId="6703CDF3" w14:textId="77777777" w:rsidR="00D753EC" w:rsidRPr="00CD72F7" w:rsidRDefault="00D753EC" w:rsidP="00F7350B"/>
    <w:sectPr w:rsidR="00D753EC" w:rsidRPr="00CD72F7"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77478" w14:textId="77777777" w:rsidR="00714947" w:rsidRDefault="00714947" w:rsidP="00F7350B">
      <w:r>
        <w:separator/>
      </w:r>
    </w:p>
  </w:endnote>
  <w:endnote w:type="continuationSeparator" w:id="0">
    <w:p w14:paraId="174EBB4E" w14:textId="77777777" w:rsidR="00714947" w:rsidRDefault="00714947"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FAD24" w14:textId="77777777" w:rsidR="00714947" w:rsidRDefault="00714947" w:rsidP="00F7350B">
      <w:r>
        <w:separator/>
      </w:r>
    </w:p>
  </w:footnote>
  <w:footnote w:type="continuationSeparator" w:id="0">
    <w:p w14:paraId="6B1657D5" w14:textId="77777777" w:rsidR="00714947" w:rsidRDefault="00714947" w:rsidP="00F7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077278E"/>
    <w:multiLevelType w:val="hybridMultilevel"/>
    <w:tmpl w:val="618808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9205301"/>
    <w:multiLevelType w:val="hybridMultilevel"/>
    <w:tmpl w:val="39AAC1D8"/>
    <w:lvl w:ilvl="0" w:tplc="C1AEC4A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E315F8"/>
    <w:multiLevelType w:val="hybridMultilevel"/>
    <w:tmpl w:val="149E5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22042351">
    <w:abstractNumId w:val="15"/>
  </w:num>
  <w:num w:numId="2" w16cid:durableId="440958940">
    <w:abstractNumId w:val="17"/>
  </w:num>
  <w:num w:numId="3" w16cid:durableId="658576874">
    <w:abstractNumId w:val="18"/>
  </w:num>
  <w:num w:numId="4" w16cid:durableId="1406955374">
    <w:abstractNumId w:val="7"/>
  </w:num>
  <w:num w:numId="5" w16cid:durableId="1034771169">
    <w:abstractNumId w:val="5"/>
  </w:num>
  <w:num w:numId="6" w16cid:durableId="1595744726">
    <w:abstractNumId w:val="2"/>
  </w:num>
  <w:num w:numId="7" w16cid:durableId="486477908">
    <w:abstractNumId w:val="14"/>
  </w:num>
  <w:num w:numId="8" w16cid:durableId="1565410903">
    <w:abstractNumId w:val="15"/>
  </w:num>
  <w:num w:numId="9" w16cid:durableId="429358519">
    <w:abstractNumId w:val="15"/>
  </w:num>
  <w:num w:numId="10" w16cid:durableId="919824688">
    <w:abstractNumId w:val="15"/>
  </w:num>
  <w:num w:numId="11" w16cid:durableId="306326257">
    <w:abstractNumId w:val="21"/>
  </w:num>
  <w:num w:numId="12" w16cid:durableId="1002509858">
    <w:abstractNumId w:val="15"/>
  </w:num>
  <w:num w:numId="13" w16cid:durableId="1125388270">
    <w:abstractNumId w:val="15"/>
  </w:num>
  <w:num w:numId="14" w16cid:durableId="1392538402">
    <w:abstractNumId w:val="15"/>
  </w:num>
  <w:num w:numId="15" w16cid:durableId="378089290">
    <w:abstractNumId w:val="13"/>
  </w:num>
  <w:num w:numId="16" w16cid:durableId="486286761">
    <w:abstractNumId w:val="15"/>
  </w:num>
  <w:num w:numId="17" w16cid:durableId="641428511">
    <w:abstractNumId w:val="25"/>
  </w:num>
  <w:num w:numId="18" w16cid:durableId="860707097">
    <w:abstractNumId w:val="22"/>
  </w:num>
  <w:num w:numId="19" w16cid:durableId="1855655598">
    <w:abstractNumId w:val="26"/>
  </w:num>
  <w:num w:numId="20" w16cid:durableId="15733411">
    <w:abstractNumId w:val="20"/>
  </w:num>
  <w:num w:numId="21" w16cid:durableId="224292728">
    <w:abstractNumId w:val="19"/>
  </w:num>
  <w:num w:numId="22" w16cid:durableId="854853665">
    <w:abstractNumId w:val="12"/>
  </w:num>
  <w:num w:numId="23" w16cid:durableId="1512255083">
    <w:abstractNumId w:val="24"/>
  </w:num>
  <w:num w:numId="24" w16cid:durableId="5838063">
    <w:abstractNumId w:val="8"/>
  </w:num>
  <w:num w:numId="25" w16cid:durableId="1125392563">
    <w:abstractNumId w:val="15"/>
  </w:num>
  <w:num w:numId="26" w16cid:durableId="1068845251">
    <w:abstractNumId w:val="11"/>
  </w:num>
  <w:num w:numId="27" w16cid:durableId="1792749254">
    <w:abstractNumId w:val="6"/>
  </w:num>
  <w:num w:numId="28" w16cid:durableId="38290214">
    <w:abstractNumId w:val="9"/>
  </w:num>
  <w:num w:numId="29" w16cid:durableId="456795025">
    <w:abstractNumId w:val="1"/>
  </w:num>
  <w:num w:numId="30" w16cid:durableId="542406668">
    <w:abstractNumId w:val="3"/>
  </w:num>
  <w:num w:numId="31" w16cid:durableId="1786071149">
    <w:abstractNumId w:val="0"/>
  </w:num>
  <w:num w:numId="32" w16cid:durableId="809789977">
    <w:abstractNumId w:val="15"/>
  </w:num>
  <w:num w:numId="33" w16cid:durableId="2060278228">
    <w:abstractNumId w:val="15"/>
  </w:num>
  <w:num w:numId="34" w16cid:durableId="292296405">
    <w:abstractNumId w:val="23"/>
  </w:num>
  <w:num w:numId="35" w16cid:durableId="1208836640">
    <w:abstractNumId w:val="4"/>
  </w:num>
  <w:num w:numId="36" w16cid:durableId="1357077845">
    <w:abstractNumId w:val="16"/>
  </w:num>
  <w:num w:numId="37" w16cid:durableId="1682852594">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47"/>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35B1"/>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61B"/>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72"/>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3.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1E1E63-2F7B-476E-B2EA-E1B497027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5737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MANGIALARDO Benedetta</cp:lastModifiedBy>
  <cp:revision>3</cp:revision>
  <cp:lastPrinted>2012-02-09T06:27:00Z</cp:lastPrinted>
  <dcterms:created xsi:type="dcterms:W3CDTF">2023-03-13T08:21:00Z</dcterms:created>
  <dcterms:modified xsi:type="dcterms:W3CDTF">2023-03-13T08:21:00Z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