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120"/>
        <w:jc w:val="center"/>
        <w:rPr>
          <w:rFonts w:asciiTheme="minorHAnsi" w:hAnsiTheme="minorHAnsi"/>
          <w:b/>
          <w:bCs/>
          <w:highlight w:val="none"/>
        </w:rPr>
      </w:pPr>
      <w:r>
        <w:rPr>
          <w:highlight w:val="none"/>
          <w:lang w:val="fr-FR" w:eastAsia="fr-FR"/>
        </w:rPr>
        <w:drawing>
          <wp:inline distT="0" distB="0" distL="0" distR="0">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930910" cy="930910"/>
                    </a:xfrm>
                    <a:prstGeom prst="rect">
                      <a:avLst/>
                    </a:prstGeom>
                    <a:noFill/>
                    <a:ln>
                      <a:noFill/>
                    </a:ln>
                  </pic:spPr>
                </pic:pic>
              </a:graphicData>
            </a:graphic>
          </wp:inline>
        </w:drawing>
      </w:r>
    </w:p>
    <w:p>
      <w:pPr>
        <w:pStyle w:val="8"/>
        <w:spacing w:before="120"/>
        <w:rPr>
          <w:rFonts w:asciiTheme="minorHAnsi" w:hAnsiTheme="minorHAnsi"/>
          <w:b/>
          <w:bCs/>
          <w:highlight w:val="none"/>
        </w:rPr>
      </w:pPr>
    </w:p>
    <w:p>
      <w:pPr>
        <w:pStyle w:val="8"/>
        <w:spacing w:before="120"/>
        <w:jc w:val="right"/>
        <w:rPr>
          <w:rFonts w:asciiTheme="minorHAnsi" w:hAnsiTheme="minorHAnsi"/>
          <w:b/>
          <w:bCs/>
          <w:highlight w:val="none"/>
        </w:rPr>
      </w:pPr>
      <w:r>
        <w:rPr>
          <w:rFonts w:ascii="Cambria" w:hAnsi="Cambria" w:eastAsia="Times New Roman" w:cs="Times New Roman"/>
          <w:color w:val="auto"/>
          <w:highlight w:val="none"/>
          <w:lang w:eastAsia="en-US"/>
        </w:rPr>
        <w:t>February 2023</w:t>
      </w:r>
    </w:p>
    <w:p>
      <w:pPr>
        <w:pStyle w:val="8"/>
        <w:ind w:left="1701" w:hanging="1701"/>
        <w:rPr>
          <w:rFonts w:ascii="Cambria" w:hAnsi="Cambria"/>
          <w:highlight w:val="none"/>
        </w:rPr>
      </w:pPr>
    </w:p>
    <w:p>
      <w:pPr>
        <w:pStyle w:val="8"/>
        <w:ind w:left="1701" w:hanging="1701"/>
        <w:rPr>
          <w:rFonts w:ascii="Cambria" w:hAnsi="Cambria"/>
          <w:highlight w:val="none"/>
        </w:rPr>
      </w:pPr>
    </w:p>
    <w:p>
      <w:pPr>
        <w:pStyle w:val="8"/>
        <w:ind w:left="1701" w:hanging="1701"/>
        <w:rPr>
          <w:rFonts w:ascii="Cambria" w:hAnsi="Cambria"/>
          <w:highlight w:val="none"/>
        </w:rPr>
      </w:pPr>
      <w:r>
        <w:rPr>
          <w:rFonts w:ascii="Cambria" w:hAnsi="Cambria"/>
          <w:highlight w:val="none"/>
        </w:rPr>
        <w:t xml:space="preserve">Title: </w:t>
      </w:r>
      <w:r>
        <w:rPr>
          <w:rFonts w:ascii="Cambria" w:hAnsi="Cambria"/>
          <w:highlight w:val="none"/>
        </w:rPr>
        <w:tab/>
      </w:r>
      <w:r>
        <w:rPr>
          <w:rFonts w:ascii="Cambria" w:hAnsi="Cambria"/>
          <w:highlight w:val="none"/>
        </w:rPr>
        <w:tab/>
      </w:r>
      <w:r>
        <w:rPr>
          <w:rFonts w:ascii="Cambria" w:hAnsi="Cambria"/>
          <w:highlight w:val="none"/>
        </w:rPr>
        <w:t>Digital Development Projects</w:t>
      </w:r>
      <w:r>
        <w:rPr>
          <w:rFonts w:ascii="Cambria" w:hAnsi="Cambria"/>
          <w:highlight w:val="none"/>
        </w:rPr>
        <w:t xml:space="preserve"> Intern</w:t>
      </w:r>
    </w:p>
    <w:p>
      <w:pPr>
        <w:spacing w:after="0" w:line="240" w:lineRule="auto"/>
        <w:ind w:left="1701" w:hanging="1701"/>
        <w:jc w:val="both"/>
        <w:rPr>
          <w:rFonts w:ascii="Cambria" w:hAnsi="Cambria"/>
          <w:sz w:val="24"/>
          <w:szCs w:val="24"/>
          <w:highlight w:val="none"/>
        </w:rPr>
      </w:pPr>
      <w:r>
        <w:rPr>
          <w:rFonts w:ascii="Cambria" w:hAnsi="Cambria"/>
          <w:sz w:val="24"/>
          <w:szCs w:val="24"/>
          <w:highlight w:val="none"/>
        </w:rPr>
        <w:t>Bureau/Dept/Unit:</w:t>
      </w:r>
      <w:r>
        <w:rPr>
          <w:rFonts w:ascii="Cambria" w:hAnsi="Cambria"/>
          <w:sz w:val="24"/>
          <w:szCs w:val="24"/>
          <w:highlight w:val="none"/>
        </w:rPr>
        <w:tab/>
      </w:r>
      <w:r>
        <w:rPr>
          <w:rFonts w:ascii="Cambria" w:hAnsi="Cambria"/>
          <w:sz w:val="24"/>
          <w:szCs w:val="24"/>
          <w:highlight w:val="none"/>
        </w:rPr>
        <w:t>ITU Regional Office for Africa (BDT / DDR / RO-AFR)</w:t>
      </w:r>
    </w:p>
    <w:p>
      <w:pPr>
        <w:spacing w:after="0" w:line="240" w:lineRule="auto"/>
        <w:ind w:left="1701" w:hanging="1701"/>
        <w:rPr>
          <w:rFonts w:ascii="Cambria" w:hAnsi="Cambria"/>
          <w:sz w:val="24"/>
          <w:szCs w:val="24"/>
          <w:highlight w:val="none"/>
        </w:rPr>
      </w:pPr>
      <w:r>
        <w:rPr>
          <w:rFonts w:ascii="Cambria" w:hAnsi="Cambria"/>
          <w:sz w:val="24"/>
          <w:szCs w:val="24"/>
          <w:highlight w:val="none"/>
        </w:rPr>
        <w:t>Supervision:</w:t>
      </w:r>
      <w:r>
        <w:rPr>
          <w:rFonts w:ascii="Cambria" w:hAnsi="Cambria"/>
          <w:sz w:val="24"/>
          <w:szCs w:val="24"/>
          <w:highlight w:val="none"/>
        </w:rPr>
        <w:tab/>
      </w:r>
      <w:r>
        <w:rPr>
          <w:rFonts w:ascii="Cambria" w:hAnsi="Cambria"/>
          <w:sz w:val="24"/>
          <w:szCs w:val="24"/>
          <w:highlight w:val="none"/>
        </w:rPr>
        <w:tab/>
      </w:r>
      <w:r>
        <w:rPr>
          <w:rFonts w:ascii="Cambria" w:hAnsi="Cambria"/>
          <w:sz w:val="24"/>
          <w:szCs w:val="24"/>
          <w:highlight w:val="none"/>
        </w:rPr>
        <w:t>Senior Advisor</w:t>
      </w:r>
    </w:p>
    <w:p>
      <w:pPr>
        <w:spacing w:after="0" w:line="240" w:lineRule="auto"/>
        <w:ind w:left="1701" w:hanging="1701"/>
        <w:jc w:val="both"/>
        <w:rPr>
          <w:rFonts w:ascii="Cambria" w:hAnsi="Cambria"/>
          <w:sz w:val="24"/>
          <w:szCs w:val="24"/>
          <w:highlight w:val="none"/>
        </w:rPr>
      </w:pPr>
      <w:r>
        <w:rPr>
          <w:rFonts w:ascii="Cambria" w:hAnsi="Cambria"/>
          <w:sz w:val="24"/>
          <w:szCs w:val="24"/>
          <w:highlight w:val="none"/>
        </w:rPr>
        <w:t xml:space="preserve">Duration: </w:t>
      </w:r>
      <w:r>
        <w:rPr>
          <w:rFonts w:ascii="Cambria" w:hAnsi="Cambria"/>
          <w:sz w:val="24"/>
          <w:szCs w:val="24"/>
          <w:highlight w:val="none"/>
        </w:rPr>
        <w:tab/>
      </w:r>
      <w:r>
        <w:rPr>
          <w:rFonts w:ascii="Cambria" w:hAnsi="Cambria"/>
          <w:sz w:val="24"/>
          <w:szCs w:val="24"/>
          <w:highlight w:val="none"/>
        </w:rPr>
        <w:tab/>
      </w:r>
      <w:r>
        <w:rPr>
          <w:rFonts w:ascii="Cambria" w:hAnsi="Cambria"/>
          <w:sz w:val="24"/>
          <w:szCs w:val="24"/>
          <w:highlight w:val="none"/>
        </w:rPr>
        <w:t>6 to 11</w:t>
      </w:r>
      <w:r>
        <w:rPr>
          <w:rFonts w:ascii="Cambria" w:hAnsi="Cambria"/>
          <w:sz w:val="24"/>
          <w:szCs w:val="24"/>
          <w:highlight w:val="none"/>
        </w:rPr>
        <w:t xml:space="preserve"> months maximum </w:t>
      </w:r>
    </w:p>
    <w:p>
      <w:pPr>
        <w:spacing w:after="0" w:line="240" w:lineRule="auto"/>
        <w:ind w:left="1701" w:hanging="1701"/>
        <w:jc w:val="both"/>
        <w:rPr>
          <w:rFonts w:ascii="Cambria" w:hAnsi="Cambria"/>
          <w:sz w:val="24"/>
          <w:szCs w:val="24"/>
          <w:highlight w:val="none"/>
        </w:rPr>
      </w:pPr>
      <w:r>
        <w:rPr>
          <w:rFonts w:ascii="Cambria" w:hAnsi="Cambria"/>
          <w:sz w:val="24"/>
          <w:szCs w:val="24"/>
          <w:highlight w:val="none"/>
        </w:rPr>
        <w:t xml:space="preserve">Location: </w:t>
      </w:r>
      <w:r>
        <w:rPr>
          <w:rFonts w:ascii="Cambria" w:hAnsi="Cambria"/>
          <w:sz w:val="24"/>
          <w:szCs w:val="24"/>
          <w:highlight w:val="none"/>
        </w:rPr>
        <w:tab/>
      </w:r>
      <w:r>
        <w:rPr>
          <w:rFonts w:ascii="Cambria" w:hAnsi="Cambria"/>
          <w:sz w:val="24"/>
          <w:szCs w:val="24"/>
          <w:highlight w:val="none"/>
        </w:rPr>
        <w:tab/>
      </w:r>
      <w:r>
        <w:rPr>
          <w:rFonts w:ascii="Cambria" w:hAnsi="Cambria"/>
          <w:sz w:val="24"/>
          <w:szCs w:val="24"/>
          <w:highlight w:val="none"/>
        </w:rPr>
        <w:t xml:space="preserve">Field – ITU </w:t>
      </w:r>
      <w:bookmarkStart w:id="0" w:name="_GoBack"/>
      <w:r>
        <w:rPr>
          <w:rFonts w:ascii="Cambria" w:hAnsi="Cambria"/>
          <w:sz w:val="24"/>
          <w:szCs w:val="24"/>
          <w:highlight w:val="none"/>
        </w:rPr>
        <w:t>Regional Office for Africa</w:t>
      </w:r>
      <w:bookmarkEnd w:id="0"/>
      <w:r>
        <w:rPr>
          <w:rFonts w:ascii="Cambria" w:hAnsi="Cambria"/>
          <w:sz w:val="24"/>
          <w:szCs w:val="24"/>
          <w:highlight w:val="none"/>
        </w:rPr>
        <w:t xml:space="preserve"> in </w:t>
      </w:r>
      <w:r>
        <w:rPr>
          <w:rFonts w:ascii="Cambria" w:hAnsi="Cambria"/>
          <w:sz w:val="24"/>
          <w:szCs w:val="24"/>
          <w:highlight w:val="none"/>
        </w:rPr>
        <w:t>Addis Ababa, Ethiopia (or ITU Area</w:t>
      </w:r>
      <w:r>
        <w:rPr>
          <w:rFonts w:ascii="Cambria" w:hAnsi="Cambria"/>
          <w:sz w:val="24"/>
          <w:szCs w:val="24"/>
          <w:highlight w:val="none"/>
        </w:rPr>
        <w:br w:type="textWrapping"/>
      </w:r>
      <w:r>
        <w:rPr>
          <w:rFonts w:ascii="Cambria" w:hAnsi="Cambria"/>
          <w:sz w:val="24"/>
          <w:szCs w:val="24"/>
          <w:highlight w:val="none"/>
        </w:rPr>
        <w:t xml:space="preserve">        Office in Dakar, Senegal; Harare, Zimbabwe; Yaoundé, Cameroon) </w:t>
      </w:r>
    </w:p>
    <w:p>
      <w:pPr>
        <w:pStyle w:val="8"/>
        <w:spacing w:before="120"/>
        <w:rPr>
          <w:rFonts w:ascii="Cambria" w:hAnsi="Cambria"/>
          <w:highlight w:val="none"/>
        </w:rPr>
      </w:pPr>
    </w:p>
    <w:p>
      <w:pPr>
        <w:spacing w:line="240" w:lineRule="auto"/>
        <w:jc w:val="both"/>
        <w:rPr>
          <w:rFonts w:ascii="Cambria" w:hAnsi="Cambria"/>
          <w:highlight w:val="none"/>
        </w:rPr>
      </w:pPr>
      <w:r>
        <w:rPr>
          <w:rFonts w:ascii="Cambria" w:hAnsi="Cambria"/>
          <w:highlight w:val="none"/>
        </w:rPr>
        <w:t>ITU is the United Nations specialized agency for information and communication technologies – ICTs.</w:t>
      </w:r>
    </w:p>
    <w:p>
      <w:pPr>
        <w:spacing w:line="240" w:lineRule="auto"/>
        <w:jc w:val="both"/>
        <w:rPr>
          <w:rFonts w:ascii="Cambria" w:hAnsi="Cambria"/>
          <w:highlight w:val="none"/>
        </w:rPr>
      </w:pPr>
      <w:r>
        <w:rPr>
          <w:rFonts w:ascii="Cambria" w:hAnsi="Cambria"/>
          <w:highlight w:val="none"/>
        </w:rPr>
        <w:t>We allocate global radio spectrum and satellite orbits, develop the technical standards that ensure networks and technologies seamlessly interconnect, and strive to improve access to ICTs to underserved communities worldwide.</w:t>
      </w:r>
    </w:p>
    <w:p>
      <w:pPr>
        <w:spacing w:line="240" w:lineRule="auto"/>
        <w:jc w:val="both"/>
        <w:rPr>
          <w:rFonts w:ascii="Cambria" w:hAnsi="Cambria"/>
          <w:highlight w:val="none"/>
        </w:rPr>
      </w:pPr>
      <w:r>
        <w:rPr>
          <w:rFonts w:ascii="Cambria" w:hAnsi="Cambria"/>
          <w:highlight w:val="none"/>
        </w:rPr>
        <w:t>ITU is committed to connecting all the world's people – wherever they live and whatever their means. Through our work, we protect and support everyone's fundamental right to communicate.</w:t>
      </w:r>
    </w:p>
    <w:p>
      <w:pPr>
        <w:spacing w:line="240" w:lineRule="auto"/>
        <w:jc w:val="both"/>
        <w:rPr>
          <w:rFonts w:ascii="Cambria" w:hAnsi="Cambria"/>
          <w:highlight w:val="none"/>
        </w:rPr>
      </w:pPr>
      <w:r>
        <w:rPr>
          <w:rFonts w:ascii="Cambria" w:hAnsi="Cambria"/>
          <w:highlight w:val="none"/>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pPr>
        <w:spacing w:line="240" w:lineRule="auto"/>
        <w:jc w:val="both"/>
        <w:rPr>
          <w:rFonts w:ascii="Cambria" w:hAnsi="Cambria"/>
          <w:highlight w:val="none"/>
        </w:rPr>
      </w:pPr>
      <w:r>
        <w:rPr>
          <w:rFonts w:ascii="Cambria" w:hAnsi="Cambria"/>
          <w:highlight w:val="none"/>
        </w:rPr>
        <w:t>With the help of our global membership, ITU brings the benefits of modern communication technologies to people everywhere in an efficient, safe, easy, and affordable manner.</w:t>
      </w:r>
    </w:p>
    <w:p>
      <w:pPr>
        <w:spacing w:line="240" w:lineRule="auto"/>
        <w:jc w:val="both"/>
        <w:rPr>
          <w:rFonts w:ascii="Cambria" w:hAnsi="Cambria"/>
          <w:highlight w:val="none"/>
        </w:rPr>
      </w:pPr>
      <w:r>
        <w:rPr>
          <w:rFonts w:ascii="Cambria" w:hAnsi="Cambria"/>
          <w:highlight w:val="none"/>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pPr>
        <w:spacing w:line="240" w:lineRule="auto"/>
        <w:jc w:val="both"/>
        <w:rPr>
          <w:rFonts w:ascii="Cambria" w:hAnsi="Cambria"/>
          <w:highlight w:val="none"/>
        </w:rPr>
      </w:pPr>
      <w:r>
        <w:rPr>
          <w:rFonts w:ascii="Cambria" w:hAnsi="Cambria"/>
          <w:highlight w:val="none"/>
        </w:rPr>
        <w:t>In an increasingly interconnected world, ITU is the single global organization embracing all players in this dynamic and fast-growing sector.</w:t>
      </w:r>
    </w:p>
    <w:p>
      <w:pPr>
        <w:pStyle w:val="14"/>
        <w:numPr>
          <w:ilvl w:val="0"/>
          <w:numId w:val="1"/>
        </w:numPr>
        <w:shd w:val="clear" w:color="auto" w:fill="FFFFFF"/>
        <w:spacing w:beforeAutospacing="1" w:after="100" w:afterAutospacing="1"/>
        <w:ind w:left="284" w:hanging="284"/>
        <w:jc w:val="both"/>
        <w:rPr>
          <w:rFonts w:ascii="Cambria" w:hAnsi="Cambria"/>
          <w:sz w:val="24"/>
          <w:szCs w:val="24"/>
          <w:highlight w:val="none"/>
        </w:rPr>
      </w:pPr>
      <w:r>
        <w:rPr>
          <w:rFonts w:ascii="Cambria" w:hAnsi="Cambria"/>
          <w:b/>
          <w:bCs/>
          <w:sz w:val="24"/>
          <w:szCs w:val="24"/>
          <w:highlight w:val="none"/>
        </w:rPr>
        <w:t>Organizational Unit</w:t>
      </w:r>
      <w:r>
        <w:rPr>
          <w:rFonts w:ascii="Cambria" w:hAnsi="Cambria"/>
          <w:sz w:val="24"/>
          <w:szCs w:val="24"/>
          <w:highlight w:val="none"/>
        </w:rPr>
        <w:t>:</w:t>
      </w:r>
    </w:p>
    <w:p>
      <w:pPr>
        <w:autoSpaceDE w:val="0"/>
        <w:autoSpaceDN w:val="0"/>
        <w:adjustRightInd w:val="0"/>
        <w:spacing w:after="0" w:line="240" w:lineRule="auto"/>
        <w:rPr>
          <w:rFonts w:ascii="Cambria" w:hAnsi="Cambria"/>
          <w:highlight w:val="none"/>
        </w:rPr>
      </w:pPr>
      <w:r>
        <w:rPr>
          <w:rFonts w:ascii="Cambria" w:hAnsi="Cambria"/>
          <w:highlight w:val="none"/>
        </w:rPr>
        <w:t xml:space="preserve">The Telecommunication Development Bureau (BDT) is responsible for the organization and coordination of the work of the Telecommunication Development Sector (ITU-D) of the Union which deals mainly with ICT-focused development policies, strategies and programmes, as well as technical cooperation activities, to promote digital inclusion and drive digital transformation at community, country and regional levels. To effectively and efficiently serve the needs of ITU members, BDT is organized into four functional areas: </w:t>
      </w:r>
    </w:p>
    <w:p>
      <w:pPr>
        <w:autoSpaceDE w:val="0"/>
        <w:autoSpaceDN w:val="0"/>
        <w:adjustRightInd w:val="0"/>
        <w:spacing w:after="0" w:line="240" w:lineRule="auto"/>
        <w:rPr>
          <w:rFonts w:ascii="Cambria" w:hAnsi="Cambria"/>
          <w:highlight w:val="none"/>
        </w:rPr>
      </w:pPr>
      <w:r>
        <w:rPr>
          <w:rFonts w:ascii="Cambria" w:hAnsi="Cambria"/>
          <w:highlight w:val="none"/>
        </w:rPr>
        <w:t>•  Office of the Deputy to the Director and Field Operations Coordination Department</w:t>
      </w:r>
    </w:p>
    <w:p>
      <w:pPr>
        <w:autoSpaceDE w:val="0"/>
        <w:autoSpaceDN w:val="0"/>
        <w:adjustRightInd w:val="0"/>
        <w:spacing w:after="0" w:line="240" w:lineRule="auto"/>
        <w:rPr>
          <w:rFonts w:ascii="Cambria" w:hAnsi="Cambria"/>
          <w:highlight w:val="none"/>
        </w:rPr>
      </w:pPr>
      <w:r>
        <w:rPr>
          <w:rFonts w:ascii="Cambria" w:hAnsi="Cambria"/>
          <w:highlight w:val="none"/>
        </w:rPr>
        <w:t>•  Partnerships for Digital Development Department</w:t>
      </w:r>
    </w:p>
    <w:p>
      <w:pPr>
        <w:autoSpaceDE w:val="0"/>
        <w:autoSpaceDN w:val="0"/>
        <w:adjustRightInd w:val="0"/>
        <w:spacing w:after="0" w:line="240" w:lineRule="auto"/>
        <w:rPr>
          <w:rFonts w:ascii="Cambria" w:hAnsi="Cambria"/>
          <w:highlight w:val="none"/>
        </w:rPr>
      </w:pPr>
      <w:r>
        <w:rPr>
          <w:rFonts w:ascii="Cambria" w:hAnsi="Cambria"/>
          <w:highlight w:val="none"/>
        </w:rPr>
        <w:t>•  Digital Networks &amp; Society Department</w:t>
      </w:r>
    </w:p>
    <w:p>
      <w:pPr>
        <w:autoSpaceDE w:val="0"/>
        <w:autoSpaceDN w:val="0"/>
        <w:adjustRightInd w:val="0"/>
        <w:spacing w:after="0" w:line="240" w:lineRule="auto"/>
        <w:rPr>
          <w:rFonts w:ascii="Cambria" w:hAnsi="Cambria"/>
          <w:highlight w:val="none"/>
        </w:rPr>
      </w:pPr>
      <w:r>
        <w:rPr>
          <w:rFonts w:ascii="Cambria" w:hAnsi="Cambria"/>
          <w:highlight w:val="none"/>
        </w:rPr>
        <w:t>•  Digital Knowledge Hub Department</w:t>
      </w:r>
    </w:p>
    <w:p>
      <w:pPr>
        <w:autoSpaceDE w:val="0"/>
        <w:autoSpaceDN w:val="0"/>
        <w:adjustRightInd w:val="0"/>
        <w:spacing w:after="0" w:line="240" w:lineRule="auto"/>
        <w:rPr>
          <w:rFonts w:ascii="Cambria" w:hAnsi="Cambria"/>
          <w:highlight w:val="none"/>
        </w:rPr>
      </w:pPr>
    </w:p>
    <w:p>
      <w:pPr>
        <w:autoSpaceDE w:val="0"/>
        <w:autoSpaceDN w:val="0"/>
        <w:adjustRightInd w:val="0"/>
        <w:spacing w:after="0" w:line="240" w:lineRule="auto"/>
        <w:rPr>
          <w:rFonts w:ascii="Cambria" w:hAnsi="Cambria"/>
          <w:highlight w:val="none"/>
        </w:rPr>
      </w:pPr>
      <w:r>
        <w:rPr>
          <w:rFonts w:ascii="Cambria" w:hAnsi="Cambria"/>
          <w:highlight w:val="none"/>
        </w:rPr>
        <w:t>The office of the Deputy to the Director and Field Operations Coordination Department is responsible for advising and supporting the Director on the direction and management of the Bureau. It is also responsible for leading all matters related to personnel, strategic, financial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p>
    <w:p>
      <w:pPr>
        <w:autoSpaceDE w:val="0"/>
        <w:autoSpaceDN w:val="0"/>
        <w:adjustRightInd w:val="0"/>
        <w:spacing w:after="0" w:line="240" w:lineRule="auto"/>
        <w:rPr>
          <w:rFonts w:ascii="Cambria" w:hAnsi="Cambria" w:cs="Helvetica"/>
          <w:highlight w:val="none"/>
        </w:rPr>
      </w:pPr>
    </w:p>
    <w:tbl>
      <w:tblPr>
        <w:tblStyle w:val="6"/>
        <w:tblW w:w="10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trPr>
        <w:tc>
          <w:tcPr>
            <w:tcW w:w="10728" w:type="dxa"/>
            <w:tcBorders>
              <w:top w:val="nil"/>
              <w:left w:val="nil"/>
              <w:bottom w:val="nil"/>
              <w:right w:val="nil"/>
            </w:tcBorders>
          </w:tcPr>
          <w:p>
            <w:pPr>
              <w:pStyle w:val="14"/>
              <w:numPr>
                <w:ilvl w:val="0"/>
                <w:numId w:val="1"/>
              </w:numPr>
              <w:ind w:left="179" w:hanging="284"/>
              <w:rPr>
                <w:rFonts w:ascii="Cambria" w:hAnsi="Cambria"/>
                <w:bCs/>
                <w:sz w:val="20"/>
                <w:szCs w:val="20"/>
                <w:highlight w:val="none"/>
              </w:rPr>
            </w:pPr>
            <w:r>
              <w:rPr>
                <w:rFonts w:ascii="Cambria" w:hAnsi="Cambria"/>
                <w:b/>
                <w:bCs/>
                <w:sz w:val="24"/>
                <w:szCs w:val="24"/>
                <w:highlight w:val="none"/>
              </w:rPr>
              <w:t xml:space="preserve">Organizational context: </w:t>
            </w:r>
            <w:r>
              <w:rPr>
                <w:rFonts w:ascii="Cambria" w:hAnsi="Cambria"/>
                <w:bCs/>
                <w:sz w:val="20"/>
                <w:szCs w:val="20"/>
                <w:highlight w:val="none"/>
              </w:rPr>
              <w:t>(Describe the organizational setting of the post and the purpose of the post as well as any supervision given or received)</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0"/>
              <w:rPr>
                <w:rFonts w:ascii="Cambria" w:hAnsi="Cambria" w:cs="Helvetica"/>
                <w:color w:val="000000"/>
                <w:highlight w:val="none"/>
              </w:rPr>
            </w:pPr>
            <w:r>
              <w:rPr>
                <w:rFonts w:ascii="Cambria" w:hAnsi="Cambria" w:cs="Helvetica"/>
                <w:color w:val="000000"/>
                <w:highlight w:val="none"/>
              </w:rPr>
              <w:t>The Telecommunication Development Bureau (BDT) is responsible for the organization and coordination of the work of the Telecommunication Development Sector (ITU-D) of the Union which deals mainly with ICT-focused development policies, strategies, and programmes, as well as technical cooperation activities, to promote digital inclusion and drive digital transformation at community, country, and regional levels. To serve the needs of ITU members effectively and efficiently, BDT is organized into four functional areas:</w:t>
            </w:r>
          </w:p>
          <w:p>
            <w:pPr>
              <w:pStyle w:val="14"/>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0" w:line="240" w:lineRule="auto"/>
              <w:ind w:left="284" w:hanging="284"/>
              <w:rPr>
                <w:rFonts w:ascii="Cambria" w:hAnsi="Cambria" w:cs="Helvetica"/>
                <w:color w:val="000000"/>
                <w:highlight w:val="none"/>
              </w:rPr>
            </w:pPr>
            <w:r>
              <w:rPr>
                <w:rFonts w:ascii="Cambria" w:hAnsi="Cambria" w:cs="Helvetica"/>
                <w:color w:val="000000"/>
                <w:highlight w:val="none"/>
              </w:rPr>
              <w:t>Office of the Deputy to the Director and Field Operations Coordination Department</w:t>
            </w:r>
          </w:p>
          <w:p>
            <w:pPr>
              <w:pStyle w:val="14"/>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0" w:line="240" w:lineRule="auto"/>
              <w:ind w:left="284" w:hanging="284"/>
              <w:rPr>
                <w:rFonts w:ascii="Cambria" w:hAnsi="Cambria" w:cs="Helvetica"/>
                <w:color w:val="000000"/>
                <w:highlight w:val="none"/>
              </w:rPr>
            </w:pPr>
            <w:r>
              <w:rPr>
                <w:rFonts w:ascii="Cambria" w:hAnsi="Cambria" w:cs="Helvetica"/>
                <w:color w:val="000000"/>
                <w:highlight w:val="none"/>
              </w:rPr>
              <w:t>Partnerships for Digital Development Department</w:t>
            </w:r>
          </w:p>
          <w:p>
            <w:pPr>
              <w:pStyle w:val="14"/>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0" w:line="240" w:lineRule="auto"/>
              <w:ind w:left="284" w:hanging="284"/>
              <w:rPr>
                <w:rFonts w:ascii="Cambria" w:hAnsi="Cambria" w:cs="Helvetica"/>
                <w:color w:val="000000"/>
                <w:highlight w:val="none"/>
              </w:rPr>
            </w:pPr>
            <w:r>
              <w:rPr>
                <w:rFonts w:ascii="Cambria" w:hAnsi="Cambria" w:cs="Helvetica"/>
                <w:color w:val="000000"/>
                <w:highlight w:val="none"/>
              </w:rPr>
              <w:t>Digital Networks &amp; Society Department</w:t>
            </w:r>
          </w:p>
          <w:p>
            <w:pPr>
              <w:pStyle w:val="14"/>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0" w:line="240" w:lineRule="auto"/>
              <w:ind w:left="284" w:hanging="284"/>
              <w:rPr>
                <w:rFonts w:ascii="Cambria" w:hAnsi="Cambria" w:cs="Helvetica"/>
                <w:color w:val="000000"/>
                <w:highlight w:val="none"/>
              </w:rPr>
            </w:pPr>
            <w:r>
              <w:rPr>
                <w:rFonts w:ascii="Cambria" w:hAnsi="Cambria" w:cs="Helvetica"/>
                <w:color w:val="000000"/>
                <w:highlight w:val="none"/>
              </w:rPr>
              <w:t>Digital Knowledge Hub Department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0"/>
              <w:rPr>
                <w:rFonts w:ascii="Tahoma" w:hAnsi="Tahoma" w:cs="Tahoma"/>
                <w:iCs/>
                <w:color w:val="000080"/>
                <w:szCs w:val="24"/>
                <w:highlight w:val="none"/>
              </w:rPr>
            </w:pPr>
            <w:r>
              <w:rPr>
                <w:rFonts w:ascii="Cambria" w:hAnsi="Cambria" w:cs="Helvetica"/>
                <w:color w:val="000000"/>
                <w:highlight w:val="none"/>
              </w:rPr>
              <w:t>The office of the Deputy to the Director and Field Operations Coordination Department is responsible for advising and supporting the Director on the direction and management of the Bureau. It is also responsible for leading all matters related to personnel, strategic, financial,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p>
        </w:tc>
      </w:tr>
    </w:tbl>
    <w:p>
      <w:pPr>
        <w:autoSpaceDE w:val="0"/>
        <w:autoSpaceDN w:val="0"/>
        <w:adjustRightInd w:val="0"/>
        <w:spacing w:after="0" w:line="240" w:lineRule="auto"/>
        <w:rPr>
          <w:rFonts w:ascii="Cambria" w:hAnsi="Cambria" w:cs="Helvetica"/>
          <w:sz w:val="24"/>
          <w:szCs w:val="24"/>
          <w:highlight w:val="none"/>
        </w:rPr>
      </w:pPr>
    </w:p>
    <w:p>
      <w:pPr>
        <w:pStyle w:val="2"/>
        <w:numPr>
          <w:ilvl w:val="0"/>
          <w:numId w:val="1"/>
        </w:numPr>
        <w:spacing w:before="240" w:after="240"/>
        <w:ind w:left="284" w:hanging="284"/>
        <w:jc w:val="both"/>
        <w:rPr>
          <w:rFonts w:ascii="Cambria" w:hAnsi="Cambria"/>
          <w:bCs/>
          <w:i/>
          <w:sz w:val="20"/>
          <w:highlight w:val="none"/>
        </w:rPr>
      </w:pPr>
      <w:r>
        <w:rPr>
          <w:rFonts w:ascii="Cambria" w:hAnsi="Cambria"/>
          <w:b/>
          <w:bCs/>
          <w:szCs w:val="24"/>
          <w:highlight w:val="none"/>
          <w:u w:val="none"/>
        </w:rPr>
        <w:t xml:space="preserve">Terms of Reference / Internship Objective: </w:t>
      </w:r>
      <w:r>
        <w:rPr>
          <w:rFonts w:ascii="Cambria" w:hAnsi="Cambria"/>
          <w:bCs/>
          <w:i/>
          <w:sz w:val="20"/>
          <w:highlight w:val="none"/>
          <w:u w:val="none"/>
        </w:rPr>
        <w:t>(</w:t>
      </w:r>
      <w:r>
        <w:rPr>
          <w:rFonts w:ascii="Cambria" w:hAnsi="Cambria"/>
          <w:bCs/>
          <w:i/>
          <w:sz w:val="20"/>
          <w:highlight w:val="none"/>
        </w:rPr>
        <w:t>The type of work that may undertake an intern must directly supports ITU’s work in the area of its mandate. The programme is not intended to substitute for work and activities covered by established posts whatever the source of funding. Therefore, the content of the terms of reference of the proposed Internship, must not be similar to functions and responsibilities contained in a job description but should describe activities to which the trainee will be associated during the course of his/her training period. However, the description should be sufficiently precise so that the prospective trainee has a clear idea of ​​what is expected of him/her, and so that, it can be validated by the educational institution.)</w:t>
      </w:r>
    </w:p>
    <w:p>
      <w:pPr>
        <w:spacing w:line="240" w:lineRule="auto"/>
        <w:rPr>
          <w:rFonts w:ascii="Cambria" w:hAnsi="Cambria" w:cs="Arial"/>
          <w:color w:val="000000"/>
          <w:highlight w:val="none"/>
        </w:rPr>
      </w:pPr>
      <w:r>
        <w:rPr>
          <w:rFonts w:ascii="Cambria" w:hAnsi="Cambria" w:cs="Arial"/>
          <w:color w:val="000000"/>
          <w:highlight w:val="none"/>
        </w:rPr>
        <w:t xml:space="preserve">The objective of the internship is to provide the candidate with the opportunity to be involved in the full lifecycle of key projects undertaken by the Telecommunication Development Bureau and the ITU Regional Office for Africa on topics related to digital transformation. </w:t>
      </w:r>
    </w:p>
    <w:p>
      <w:pPr>
        <w:spacing w:line="240" w:lineRule="auto"/>
        <w:rPr>
          <w:rFonts w:ascii="Cambria" w:hAnsi="Cambria" w:eastAsia="Times New Roman" w:cs="Arial"/>
          <w:color w:val="000000"/>
          <w:highlight w:val="none"/>
        </w:rPr>
      </w:pPr>
      <w:r>
        <w:rPr>
          <w:rFonts w:ascii="Cambria" w:hAnsi="Cambria" w:eastAsia="Times New Roman" w:cs="Arial"/>
          <w:color w:val="000000"/>
          <w:highlight w:val="none"/>
        </w:rPr>
        <w:t>Under the supervision of the Senior Advisor, and in close collaboration with colleagues in the ITU Regional and Area Offices, and in ITU Headquarters, the Intern will:</w:t>
      </w:r>
    </w:p>
    <w:p>
      <w:pPr>
        <w:pStyle w:val="14"/>
        <w:numPr>
          <w:ilvl w:val="0"/>
          <w:numId w:val="3"/>
        </w:numPr>
        <w:tabs>
          <w:tab w:val="left" w:pos="436"/>
          <w:tab w:val="clear" w:pos="720"/>
        </w:tabs>
        <w:snapToGrid w:val="0"/>
        <w:spacing w:after="120" w:line="240" w:lineRule="auto"/>
        <w:ind w:left="431" w:hanging="357"/>
        <w:contextualSpacing w:val="0"/>
        <w:rPr>
          <w:rFonts w:ascii="Cambria" w:hAnsi="Cambria" w:cs="Arial"/>
          <w:color w:val="000000"/>
          <w:highlight w:val="none"/>
          <w:lang w:val="en-GB"/>
        </w:rPr>
      </w:pPr>
      <w:r>
        <w:rPr>
          <w:rFonts w:ascii="Cambria" w:hAnsi="Cambria" w:cs="Arial"/>
          <w:color w:val="000000"/>
          <w:highlight w:val="none"/>
        </w:rPr>
        <w:t>Research topics covered by digital development projects and follow project-related discussions in social media, press and general media, and compile this information for sharing with the team, for inclusion in reports and briefings.</w:t>
      </w:r>
    </w:p>
    <w:p>
      <w:pPr>
        <w:pStyle w:val="14"/>
        <w:numPr>
          <w:ilvl w:val="0"/>
          <w:numId w:val="3"/>
        </w:numPr>
        <w:tabs>
          <w:tab w:val="left" w:pos="436"/>
          <w:tab w:val="clear" w:pos="720"/>
        </w:tabs>
        <w:snapToGrid w:val="0"/>
        <w:spacing w:after="120" w:line="240" w:lineRule="auto"/>
        <w:ind w:left="431" w:hanging="357"/>
        <w:contextualSpacing w:val="0"/>
        <w:rPr>
          <w:rFonts w:ascii="Cambria" w:hAnsi="Cambria" w:cs="Arial"/>
          <w:color w:val="000000"/>
          <w:highlight w:val="none"/>
          <w:lang w:val="en-GB"/>
        </w:rPr>
      </w:pPr>
      <w:r>
        <w:rPr>
          <w:rFonts w:ascii="Cambria" w:hAnsi="Cambria" w:cs="Arial"/>
          <w:color w:val="000000"/>
          <w:highlight w:val="none"/>
        </w:rPr>
        <w:t>Assist in producing briefings, content and background reports to support the development and implementation of digital development projects. The content developed may be featured in official documents, blogs, social media and project related deliverables.</w:t>
      </w:r>
    </w:p>
    <w:p>
      <w:pPr>
        <w:pStyle w:val="14"/>
        <w:numPr>
          <w:ilvl w:val="0"/>
          <w:numId w:val="3"/>
        </w:numPr>
        <w:tabs>
          <w:tab w:val="left" w:pos="436"/>
          <w:tab w:val="clear" w:pos="720"/>
        </w:tabs>
        <w:snapToGrid w:val="0"/>
        <w:spacing w:after="120" w:line="240" w:lineRule="auto"/>
        <w:ind w:left="431" w:hanging="357"/>
        <w:contextualSpacing w:val="0"/>
        <w:rPr>
          <w:rFonts w:ascii="Cambria" w:hAnsi="Cambria" w:cs="Arial"/>
          <w:color w:val="000000"/>
          <w:highlight w:val="none"/>
          <w:lang w:val="en-GB"/>
        </w:rPr>
      </w:pPr>
      <w:r>
        <w:rPr>
          <w:rFonts w:ascii="Cambria" w:hAnsi="Cambria" w:cs="Arial"/>
          <w:color w:val="000000"/>
          <w:highlight w:val="none"/>
        </w:rPr>
        <w:t xml:space="preserve">Assist in the research for fundraising purposes to support the development and implementation of projects and activities. </w:t>
      </w:r>
    </w:p>
    <w:p>
      <w:pPr>
        <w:pStyle w:val="14"/>
        <w:numPr>
          <w:ilvl w:val="0"/>
          <w:numId w:val="3"/>
        </w:numPr>
        <w:tabs>
          <w:tab w:val="left" w:pos="436"/>
          <w:tab w:val="clear" w:pos="720"/>
        </w:tabs>
        <w:snapToGrid w:val="0"/>
        <w:spacing w:after="120" w:line="240" w:lineRule="auto"/>
        <w:ind w:left="431" w:hanging="357"/>
        <w:contextualSpacing w:val="0"/>
        <w:rPr>
          <w:rFonts w:ascii="Cambria" w:hAnsi="Cambria" w:cs="Arial"/>
          <w:color w:val="000000"/>
          <w:highlight w:val="none"/>
          <w:lang w:val="en-GB"/>
        </w:rPr>
      </w:pPr>
      <w:r>
        <w:rPr>
          <w:rFonts w:ascii="Cambria" w:hAnsi="Cambria" w:cs="Arial"/>
          <w:color w:val="000000"/>
          <w:highlight w:val="none"/>
        </w:rPr>
        <w:t>Participate in compiling data and information and drafting text for inclusion on the website and in databases.</w:t>
      </w:r>
    </w:p>
    <w:p>
      <w:pPr>
        <w:pStyle w:val="14"/>
        <w:numPr>
          <w:ilvl w:val="0"/>
          <w:numId w:val="3"/>
        </w:numPr>
        <w:tabs>
          <w:tab w:val="left" w:pos="436"/>
          <w:tab w:val="clear" w:pos="720"/>
        </w:tabs>
        <w:snapToGrid w:val="0"/>
        <w:spacing w:after="120" w:line="240" w:lineRule="auto"/>
        <w:ind w:left="431" w:hanging="357"/>
        <w:contextualSpacing w:val="0"/>
        <w:rPr>
          <w:rFonts w:ascii="Cambria" w:hAnsi="Cambria" w:cs="Arial"/>
          <w:color w:val="000000"/>
          <w:highlight w:val="none"/>
          <w:lang w:val="en-GB"/>
        </w:rPr>
      </w:pPr>
      <w:r>
        <w:rPr>
          <w:rFonts w:ascii="Cambria" w:hAnsi="Cambria" w:cs="Arial"/>
          <w:color w:val="000000"/>
          <w:highlight w:val="none"/>
        </w:rPr>
        <w:t>Assist in preparing and executing project related events and workshops on topics related to digital transformation (connectivity, regulation and policy, digital inclusion, capacity development, etc.)</w:t>
      </w:r>
    </w:p>
    <w:p>
      <w:pPr>
        <w:pStyle w:val="14"/>
        <w:numPr>
          <w:ilvl w:val="0"/>
          <w:numId w:val="3"/>
        </w:numPr>
        <w:tabs>
          <w:tab w:val="left" w:pos="436"/>
          <w:tab w:val="clear" w:pos="720"/>
        </w:tabs>
        <w:snapToGrid w:val="0"/>
        <w:spacing w:after="120" w:line="240" w:lineRule="auto"/>
        <w:ind w:left="431" w:hanging="357"/>
        <w:contextualSpacing w:val="0"/>
        <w:rPr>
          <w:rFonts w:ascii="Cambria" w:hAnsi="Cambria" w:cs="Arial"/>
          <w:color w:val="000000"/>
          <w:highlight w:val="none"/>
          <w:lang w:val="en-GB"/>
        </w:rPr>
      </w:pPr>
      <w:r>
        <w:rPr>
          <w:rFonts w:ascii="Cambria" w:hAnsi="Cambria" w:cs="Arial"/>
          <w:color w:val="000000"/>
          <w:highlight w:val="none"/>
        </w:rPr>
        <w:t xml:space="preserve">The intern may be asked to carry out any other related tasks as required by the supervisor to contribute to the success of the team. </w:t>
      </w:r>
    </w:p>
    <w:p>
      <w:pPr>
        <w:pStyle w:val="8"/>
        <w:numPr>
          <w:ilvl w:val="0"/>
          <w:numId w:val="1"/>
        </w:numPr>
        <w:spacing w:before="120"/>
        <w:ind w:left="284" w:hanging="284"/>
        <w:jc w:val="both"/>
        <w:rPr>
          <w:rFonts w:ascii="Cambria" w:hAnsi="Cambria"/>
          <w:b/>
          <w:bCs/>
          <w:highlight w:val="none"/>
        </w:rPr>
      </w:pPr>
      <w:r>
        <w:rPr>
          <w:rFonts w:ascii="Cambria" w:hAnsi="Cambria"/>
          <w:b/>
          <w:bCs/>
          <w:highlight w:val="none"/>
        </w:rPr>
        <w:t xml:space="preserve">Competencies </w:t>
      </w:r>
    </w:p>
    <w:p>
      <w:pPr>
        <w:pStyle w:val="14"/>
        <w:spacing w:after="0" w:line="240" w:lineRule="auto"/>
        <w:rPr>
          <w:rFonts w:ascii="Cambria" w:hAnsi="Cambria" w:eastAsia="Times New Roman" w:cs="Arial"/>
          <w:color w:val="000000"/>
          <w:sz w:val="24"/>
          <w:szCs w:val="24"/>
          <w:highlight w:val="none"/>
        </w:rPr>
      </w:pPr>
    </w:p>
    <w:p>
      <w:pPr>
        <w:jc w:val="both"/>
        <w:rPr>
          <w:rFonts w:ascii="Cambria" w:hAnsi="Cambria" w:eastAsia="Times New Roman" w:cs="Arial"/>
          <w:i/>
          <w:color w:val="000000"/>
          <w:sz w:val="20"/>
          <w:szCs w:val="20"/>
          <w:highlight w:val="none"/>
        </w:rPr>
      </w:pPr>
      <w:r>
        <w:rPr>
          <w:rFonts w:ascii="Cambria" w:hAnsi="Cambria" w:eastAsia="Times New Roman" w:cs="Arial"/>
          <w:b/>
          <w:bCs/>
          <w:color w:val="000000"/>
          <w:sz w:val="24"/>
          <w:szCs w:val="24"/>
          <w:highlight w:val="none"/>
        </w:rPr>
        <w:t>Technical Competencies</w:t>
      </w:r>
      <w:r>
        <w:rPr>
          <w:rFonts w:ascii="Cambria" w:hAnsi="Cambria" w:eastAsia="Times New Roman" w:cs="Arial"/>
          <w:color w:val="000000"/>
          <w:sz w:val="24"/>
          <w:szCs w:val="24"/>
          <w:highlight w:val="none"/>
        </w:rPr>
        <w:t> </w:t>
      </w:r>
      <w:r>
        <w:rPr>
          <w:rFonts w:ascii="Cambria" w:hAnsi="Cambria" w:eastAsia="Times New Roman" w:cs="Arial"/>
          <w:i/>
          <w:color w:val="000000"/>
          <w:sz w:val="20"/>
          <w:szCs w:val="20"/>
          <w:highlight w:val="none"/>
        </w:rPr>
        <w:t>(Examples of technical competencies are knowledge of regulatory frameworks, ERP or project management methodologies, etc.):</w:t>
      </w:r>
    </w:p>
    <w:p>
      <w:pPr>
        <w:pStyle w:val="14"/>
        <w:numPr>
          <w:ilvl w:val="0"/>
          <w:numId w:val="3"/>
        </w:numPr>
        <w:spacing w:after="0" w:line="240" w:lineRule="auto"/>
        <w:ind w:left="357" w:hanging="357"/>
        <w:rPr>
          <w:rFonts w:ascii="Cambria" w:hAnsi="Cambria" w:eastAsia="Times New Roman" w:cs="Times New Roman"/>
          <w:highlight w:val="none"/>
          <w:lang w:val="en-GB" w:eastAsia="en-GB"/>
        </w:rPr>
      </w:pPr>
      <w:r>
        <w:rPr>
          <w:rFonts w:ascii="Cambria" w:hAnsi="Cambria" w:eastAsia="Times New Roman" w:cs="Times New Roman"/>
          <w:b/>
          <w:bCs/>
          <w:highlight w:val="none"/>
          <w:lang w:val="en-GB" w:eastAsia="en-GB"/>
        </w:rPr>
        <w:t>Core Competencies:</w:t>
      </w:r>
      <w:r>
        <w:rPr>
          <w:rFonts w:ascii="Cambria" w:hAnsi="Cambria" w:eastAsia="Times New Roman" w:cs="Times New Roman"/>
          <w:highlight w:val="none"/>
          <w:lang w:val="en-GB" w:eastAsia="en-GB"/>
        </w:rPr>
        <w:t> Effective Communication; Learning and Knowledge Sharing; and; Teamwork and Collaboration.</w:t>
      </w:r>
    </w:p>
    <w:p>
      <w:pPr>
        <w:pStyle w:val="14"/>
        <w:numPr>
          <w:ilvl w:val="0"/>
          <w:numId w:val="3"/>
        </w:numPr>
        <w:spacing w:after="0" w:line="240" w:lineRule="auto"/>
        <w:ind w:left="357" w:hanging="357"/>
        <w:rPr>
          <w:rFonts w:ascii="Cambria" w:hAnsi="Cambria" w:eastAsia="Times New Roman" w:cs="Times New Roman"/>
          <w:highlight w:val="none"/>
          <w:lang w:val="en-GB" w:eastAsia="en-GB"/>
        </w:rPr>
      </w:pPr>
      <w:r>
        <w:rPr>
          <w:rFonts w:ascii="Cambria" w:hAnsi="Cambria" w:eastAsia="Times New Roman" w:cs="Times New Roman"/>
          <w:b/>
          <w:bCs/>
          <w:highlight w:val="none"/>
          <w:lang w:val="en-GB" w:eastAsia="en-GB"/>
        </w:rPr>
        <w:t>Essential Functional Competencies:</w:t>
      </w:r>
      <w:r>
        <w:rPr>
          <w:rFonts w:ascii="Cambria" w:hAnsi="Cambria" w:eastAsia="Times New Roman" w:cs="Times New Roman"/>
          <w:highlight w:val="none"/>
          <w:lang w:val="en-GB" w:eastAsia="en-GB"/>
        </w:rPr>
        <w:t> Analysis, Client, and Service Orientation; Planning and Organizing.</w:t>
      </w:r>
    </w:p>
    <w:p>
      <w:pPr>
        <w:pStyle w:val="14"/>
        <w:numPr>
          <w:ilvl w:val="0"/>
          <w:numId w:val="3"/>
        </w:numPr>
        <w:ind w:left="357" w:hanging="357"/>
        <w:jc w:val="both"/>
        <w:rPr>
          <w:rFonts w:ascii="Cambria" w:hAnsi="Cambria" w:eastAsia="Times New Roman" w:cs="Arial"/>
          <w:i/>
          <w:color w:val="000000"/>
          <w:sz w:val="18"/>
          <w:szCs w:val="18"/>
          <w:highlight w:val="none"/>
        </w:rPr>
      </w:pPr>
      <w:r>
        <w:rPr>
          <w:rFonts w:ascii="Cambria" w:hAnsi="Cambria" w:eastAsia="Times New Roman" w:cs="Times New Roman"/>
          <w:b/>
          <w:bCs/>
          <w:highlight w:val="none"/>
          <w:lang w:val="en-GB" w:eastAsia="en-GB"/>
        </w:rPr>
        <w:t>Essential Technical Competencies:</w:t>
      </w:r>
      <w:r>
        <w:rPr>
          <w:rFonts w:ascii="Cambria" w:hAnsi="Cambria" w:eastAsia="Times New Roman" w:cs="Times New Roman"/>
          <w:highlight w:val="none"/>
          <w:lang w:val="en-GB" w:eastAsia="en-GB"/>
        </w:rPr>
        <w:t> Knowledge of the use of digital technologies, Proficiency in the use of data analysis and business intelligence software (e.g., Excel, Tableau) and web publishing tools would be useful.</w:t>
      </w:r>
    </w:p>
    <w:p>
      <w:pPr>
        <w:pStyle w:val="8"/>
        <w:numPr>
          <w:ilvl w:val="0"/>
          <w:numId w:val="1"/>
        </w:numPr>
        <w:spacing w:before="120"/>
        <w:ind w:left="284" w:hanging="284"/>
        <w:jc w:val="both"/>
        <w:rPr>
          <w:rFonts w:ascii="Cambria" w:hAnsi="Cambria"/>
          <w:b/>
          <w:bCs/>
          <w:highlight w:val="none"/>
        </w:rPr>
      </w:pPr>
      <w:r>
        <w:rPr>
          <w:rFonts w:ascii="Cambria" w:hAnsi="Cambria"/>
          <w:b/>
          <w:bCs/>
          <w:highlight w:val="none"/>
        </w:rPr>
        <w:t xml:space="preserve">Qualifications required </w:t>
      </w:r>
    </w:p>
    <w:p>
      <w:pPr>
        <w:pStyle w:val="8"/>
        <w:numPr>
          <w:ilvl w:val="0"/>
          <w:numId w:val="4"/>
        </w:numPr>
        <w:spacing w:before="120"/>
        <w:jc w:val="both"/>
        <w:rPr>
          <w:rFonts w:ascii="Cambria" w:hAnsi="Cambria"/>
          <w:highlight w:val="none"/>
        </w:rPr>
      </w:pPr>
      <w:r>
        <w:rPr>
          <w:rFonts w:ascii="Cambria" w:hAnsi="Cambria"/>
          <w:b/>
          <w:bCs/>
          <w:highlight w:val="none"/>
        </w:rPr>
        <w:t>Education</w:t>
      </w:r>
      <w:r>
        <w:rPr>
          <w:rFonts w:ascii="Cambria" w:hAnsi="Cambria"/>
          <w:highlight w:val="none"/>
        </w:rPr>
        <w:t xml:space="preserve">: </w:t>
      </w:r>
    </w:p>
    <w:p>
      <w:pPr>
        <w:pStyle w:val="8"/>
        <w:spacing w:before="120"/>
        <w:jc w:val="both"/>
        <w:rPr>
          <w:rFonts w:ascii="Cambria" w:hAnsi="Cambria" w:eastAsia="Times New Roman" w:cs="Arial"/>
          <w:highlight w:val="none"/>
        </w:rPr>
      </w:pPr>
      <w:r>
        <w:rPr>
          <w:rFonts w:ascii="custom3fac55cbb9994ed2a9dda" w:hAnsi="custom3fac55cbb9994ed2a9dda"/>
          <w:highlight w:val="none"/>
          <w:shd w:val="clear" w:color="auto" w:fill="FFFFFF"/>
        </w:rPr>
        <w:t xml:space="preserve">University degree in the areas of </w:t>
      </w:r>
      <w:r>
        <w:rPr>
          <w:rFonts w:ascii="custom3fac55cbb9994ed2a9dda" w:hAnsi="custom3fac55cbb9994ed2a9dda"/>
          <w:highlight w:val="none"/>
          <w:shd w:val="clear" w:color="auto" w:fill="FFFFFF"/>
        </w:rPr>
        <w:t>telecommunications, innovation, business administration, international relations, development studies</w:t>
      </w:r>
      <w:r>
        <w:rPr>
          <w:rFonts w:ascii="custom3fac55cbb9994ed2a9dda" w:hAnsi="custom3fac55cbb9994ed2a9dda"/>
          <w:highlight w:val="none"/>
          <w:shd w:val="clear" w:color="auto" w:fill="FFFFFF"/>
        </w:rPr>
        <w:t xml:space="preserve"> or an equivalent level of education and specialization in a relevant field. </w:t>
      </w:r>
    </w:p>
    <w:p>
      <w:pPr>
        <w:pStyle w:val="8"/>
        <w:numPr>
          <w:ilvl w:val="0"/>
          <w:numId w:val="4"/>
        </w:numPr>
        <w:spacing w:before="120"/>
        <w:jc w:val="both"/>
        <w:rPr>
          <w:rFonts w:ascii="Cambria" w:hAnsi="Cambria"/>
          <w:highlight w:val="none"/>
        </w:rPr>
      </w:pPr>
      <w:r>
        <w:rPr>
          <w:rFonts w:ascii="Cambria" w:hAnsi="Cambria"/>
          <w:b/>
          <w:bCs/>
          <w:highlight w:val="none"/>
        </w:rPr>
        <w:t>Work experience</w:t>
      </w:r>
      <w:r>
        <w:rPr>
          <w:rFonts w:ascii="Cambria" w:hAnsi="Cambria"/>
          <w:highlight w:val="none"/>
        </w:rPr>
        <w:t xml:space="preserve">: </w:t>
      </w:r>
    </w:p>
    <w:p>
      <w:pPr>
        <w:pStyle w:val="8"/>
        <w:spacing w:before="120"/>
        <w:jc w:val="both"/>
        <w:rPr>
          <w:rFonts w:ascii="Cambria" w:hAnsi="Cambria"/>
          <w:highlight w:val="none"/>
        </w:rPr>
      </w:pPr>
      <w:r>
        <w:rPr>
          <w:rFonts w:ascii="Cambria" w:hAnsi="Cambria" w:eastAsia="Times New Roman" w:cs="Arial"/>
          <w:highlight w:val="none"/>
        </w:rPr>
        <w:t>No work experience is required.</w:t>
      </w:r>
    </w:p>
    <w:p>
      <w:pPr>
        <w:pStyle w:val="14"/>
        <w:ind w:left="360"/>
        <w:jc w:val="both"/>
        <w:rPr>
          <w:rFonts w:ascii="Cambria" w:hAnsi="Cambria" w:eastAsia="宋体"/>
          <w:sz w:val="24"/>
          <w:szCs w:val="24"/>
          <w:highlight w:val="none"/>
          <w:lang w:val="en-GB"/>
        </w:rPr>
      </w:pPr>
    </w:p>
    <w:p>
      <w:pPr>
        <w:pStyle w:val="14"/>
        <w:numPr>
          <w:ilvl w:val="0"/>
          <w:numId w:val="1"/>
        </w:numPr>
        <w:snapToGrid w:val="0"/>
        <w:spacing w:before="120"/>
        <w:ind w:left="284" w:right="-360" w:hanging="284"/>
        <w:jc w:val="both"/>
        <w:rPr>
          <w:rFonts w:ascii="Cambria" w:hAnsi="Cambria"/>
          <w:szCs w:val="24"/>
          <w:highlight w:val="none"/>
        </w:rPr>
      </w:pPr>
      <w:r>
        <w:rPr>
          <w:rFonts w:ascii="Cambria" w:hAnsi="Cambria"/>
          <w:b/>
          <w:sz w:val="24"/>
          <w:szCs w:val="24"/>
          <w:highlight w:val="none"/>
        </w:rPr>
        <w:t>Languages:</w:t>
      </w:r>
      <w:r>
        <w:rPr>
          <w:rFonts w:ascii="Cambria" w:hAnsi="Cambria"/>
          <w:b/>
          <w:sz w:val="24"/>
          <w:szCs w:val="24"/>
          <w:highlight w:val="none"/>
          <w:u w:val="single"/>
        </w:rPr>
        <w:t xml:space="preserve"> </w:t>
      </w:r>
    </w:p>
    <w:p>
      <w:pPr>
        <w:snapToGrid w:val="0"/>
        <w:spacing w:before="120"/>
        <w:ind w:right="-360"/>
        <w:jc w:val="both"/>
        <w:rPr>
          <w:rFonts w:ascii="Cambria" w:hAnsi="Cambria" w:eastAsia="Times New Roman" w:cs="Arial"/>
          <w:color w:val="000000"/>
          <w:sz w:val="24"/>
          <w:szCs w:val="24"/>
          <w:highlight w:val="none"/>
        </w:rPr>
      </w:pPr>
      <w:r>
        <w:rPr>
          <w:rFonts w:ascii="Cambria" w:hAnsi="Cambria" w:eastAsia="Times New Roman" w:cs="Arial"/>
          <w:color w:val="000000"/>
          <w:sz w:val="24"/>
          <w:szCs w:val="24"/>
          <w:highlight w:val="none"/>
        </w:rPr>
        <w:t xml:space="preserve">Fluency in oral and written </w:t>
      </w:r>
      <w:r>
        <w:rPr>
          <w:rFonts w:ascii="Cambria" w:hAnsi="Cambria" w:eastAsia="Times New Roman" w:cs="Arial"/>
          <w:color w:val="000000"/>
          <w:sz w:val="24"/>
          <w:szCs w:val="24"/>
          <w:highlight w:val="none"/>
        </w:rPr>
        <w:t xml:space="preserve">English is a requirement. Knowledge of French </w:t>
      </w:r>
      <w:r>
        <w:rPr>
          <w:rFonts w:ascii="Cambria" w:hAnsi="Cambria" w:eastAsia="Times New Roman" w:cs="Arial"/>
          <w:color w:val="000000"/>
          <w:sz w:val="24"/>
          <w:szCs w:val="24"/>
          <w:highlight w:val="none"/>
        </w:rPr>
        <w:t>is an additional advantage.</w:t>
      </w:r>
    </w:p>
    <w:p>
      <w:pPr>
        <w:pStyle w:val="14"/>
        <w:numPr>
          <w:ilvl w:val="0"/>
          <w:numId w:val="1"/>
        </w:numPr>
        <w:snapToGrid w:val="0"/>
        <w:spacing w:before="120"/>
        <w:ind w:left="284" w:right="-360" w:hanging="284"/>
        <w:jc w:val="both"/>
        <w:rPr>
          <w:rFonts w:ascii="Cambria" w:hAnsi="Cambria"/>
          <w:b/>
          <w:bCs/>
          <w:szCs w:val="24"/>
          <w:highlight w:val="none"/>
        </w:rPr>
      </w:pPr>
      <w:r>
        <w:rPr>
          <w:rFonts w:ascii="Cambria" w:hAnsi="Cambria" w:cs="Verdana"/>
          <w:b/>
          <w:bCs/>
          <w:color w:val="000000"/>
          <w:szCs w:val="24"/>
          <w:highlight w:val="none"/>
        </w:rPr>
        <w:t>Training and Learning Elements</w:t>
      </w:r>
      <w:r>
        <w:rPr>
          <w:rFonts w:ascii="Cambria" w:hAnsi="Cambria"/>
          <w:b/>
          <w:bCs/>
          <w:szCs w:val="24"/>
          <w:highlight w:val="none"/>
        </w:rPr>
        <w:t>:</w:t>
      </w:r>
    </w:p>
    <w:p>
      <w:pPr>
        <w:snapToGrid w:val="0"/>
        <w:spacing w:before="120" w:after="0" w:line="240" w:lineRule="auto"/>
        <w:jc w:val="both"/>
        <w:rPr>
          <w:rFonts w:ascii="Cambria" w:hAnsi="Cambria"/>
          <w:sz w:val="24"/>
          <w:szCs w:val="24"/>
          <w:highlight w:val="none"/>
        </w:rPr>
      </w:pPr>
      <w:r>
        <w:rPr>
          <w:rFonts w:ascii="Cambria" w:hAnsi="Cambria"/>
          <w:sz w:val="24"/>
          <w:szCs w:val="24"/>
          <w:highlight w:val="none"/>
        </w:rPr>
        <w:t>The intern will acquire excellent knowledge and experience of:</w:t>
      </w:r>
    </w:p>
    <w:p>
      <w:pPr>
        <w:pStyle w:val="14"/>
        <w:numPr>
          <w:ilvl w:val="0"/>
          <w:numId w:val="5"/>
        </w:numPr>
        <w:spacing w:after="0" w:line="240" w:lineRule="auto"/>
        <w:jc w:val="both"/>
        <w:rPr>
          <w:rFonts w:ascii="Cambria" w:hAnsi="Cambria"/>
          <w:sz w:val="24"/>
          <w:szCs w:val="24"/>
          <w:highlight w:val="none"/>
        </w:rPr>
      </w:pPr>
      <w:r>
        <w:rPr>
          <w:rFonts w:ascii="Cambria" w:hAnsi="Cambria"/>
          <w:sz w:val="24"/>
          <w:szCs w:val="24"/>
          <w:highlight w:val="none"/>
        </w:rPr>
        <w:t>what digital transformation is and how digital technologies can support the advancement of development targets and objectives, including the UN Sustainable Development Goals (SDGs).</w:t>
      </w:r>
    </w:p>
    <w:p>
      <w:pPr>
        <w:pStyle w:val="14"/>
        <w:numPr>
          <w:ilvl w:val="0"/>
          <w:numId w:val="5"/>
        </w:numPr>
        <w:spacing w:after="0" w:line="240" w:lineRule="auto"/>
        <w:jc w:val="both"/>
        <w:rPr>
          <w:rFonts w:ascii="Cambria" w:hAnsi="Cambria"/>
          <w:sz w:val="24"/>
          <w:szCs w:val="24"/>
          <w:highlight w:val="none"/>
        </w:rPr>
      </w:pPr>
      <w:r>
        <w:rPr>
          <w:rFonts w:ascii="Cambria" w:hAnsi="Cambria"/>
          <w:sz w:val="24"/>
          <w:szCs w:val="24"/>
          <w:highlight w:val="none"/>
        </w:rPr>
        <w:t>opportunities and challenges with regards to implementing digital development projects.</w:t>
      </w:r>
    </w:p>
    <w:p>
      <w:pPr>
        <w:pStyle w:val="14"/>
        <w:numPr>
          <w:ilvl w:val="0"/>
          <w:numId w:val="5"/>
        </w:numPr>
        <w:spacing w:after="0" w:line="240" w:lineRule="auto"/>
        <w:jc w:val="both"/>
        <w:rPr>
          <w:rFonts w:ascii="Cambria" w:hAnsi="Cambria"/>
          <w:sz w:val="24"/>
          <w:szCs w:val="24"/>
          <w:highlight w:val="none"/>
        </w:rPr>
      </w:pPr>
      <w:r>
        <w:rPr>
          <w:rFonts w:ascii="Cambria" w:hAnsi="Cambria"/>
          <w:sz w:val="24"/>
          <w:szCs w:val="24"/>
          <w:highlight w:val="none"/>
        </w:rPr>
        <w:t>country specific contexts and progress made to advance national and regional development priorities using digital technologies.</w:t>
      </w:r>
    </w:p>
    <w:p>
      <w:pPr>
        <w:pStyle w:val="14"/>
        <w:numPr>
          <w:ilvl w:val="0"/>
          <w:numId w:val="5"/>
        </w:numPr>
        <w:rPr>
          <w:rFonts w:ascii="Cambria" w:hAnsi="Cambria"/>
          <w:sz w:val="24"/>
          <w:szCs w:val="24"/>
          <w:highlight w:val="none"/>
        </w:rPr>
      </w:pPr>
      <w:r>
        <w:rPr>
          <w:rFonts w:ascii="Cambria" w:hAnsi="Cambria"/>
          <w:sz w:val="24"/>
          <w:szCs w:val="24"/>
          <w:highlight w:val="none"/>
        </w:rPr>
        <w:t>stakeholders working in digital transformation and development on the African continent and why this is important when designing and implementing digital development projects.</w:t>
      </w:r>
    </w:p>
    <w:p>
      <w:pPr>
        <w:pStyle w:val="14"/>
        <w:numPr>
          <w:ilvl w:val="0"/>
          <w:numId w:val="5"/>
        </w:numPr>
        <w:rPr>
          <w:rFonts w:ascii="Cambria" w:hAnsi="Cambria"/>
          <w:sz w:val="24"/>
          <w:szCs w:val="24"/>
          <w:highlight w:val="none"/>
        </w:rPr>
      </w:pPr>
      <w:r>
        <w:rPr>
          <w:rFonts w:ascii="Cambria" w:hAnsi="Cambria"/>
          <w:sz w:val="24"/>
          <w:szCs w:val="24"/>
          <w:highlight w:val="none"/>
        </w:rPr>
        <w:t>research and impactful writing on digital development.</w:t>
      </w:r>
    </w:p>
    <w:p>
      <w:pPr>
        <w:pStyle w:val="14"/>
        <w:numPr>
          <w:ilvl w:val="0"/>
          <w:numId w:val="5"/>
        </w:numPr>
        <w:rPr>
          <w:rFonts w:ascii="Cambria" w:hAnsi="Cambria"/>
          <w:sz w:val="24"/>
          <w:szCs w:val="24"/>
          <w:highlight w:val="none"/>
        </w:rPr>
      </w:pPr>
      <w:r>
        <w:rPr>
          <w:rFonts w:ascii="Cambria" w:hAnsi="Cambria"/>
          <w:sz w:val="24"/>
          <w:szCs w:val="24"/>
          <w:highlight w:val="none"/>
        </w:rPr>
        <w:t>how to work effectively within a multicultural, multilingual, and diverse team.</w:t>
      </w:r>
    </w:p>
    <w:p>
      <w:pPr>
        <w:pStyle w:val="14"/>
        <w:numPr>
          <w:ilvl w:val="0"/>
          <w:numId w:val="5"/>
        </w:numPr>
        <w:rPr>
          <w:rFonts w:ascii="Cambria" w:hAnsi="Cambria"/>
          <w:sz w:val="24"/>
          <w:szCs w:val="24"/>
          <w:highlight w:val="none"/>
        </w:rPr>
      </w:pPr>
      <w:r>
        <w:rPr>
          <w:rFonts w:ascii="Cambria" w:hAnsi="Cambria"/>
          <w:sz w:val="24"/>
          <w:szCs w:val="24"/>
          <w:highlight w:val="none"/>
        </w:rPr>
        <w:t>how to meaningful contribute to digital development work in a UN specialized agency.</w:t>
      </w:r>
    </w:p>
    <w:p>
      <w:pPr>
        <w:jc w:val="both"/>
        <w:rPr>
          <w:rFonts w:ascii="Cambria" w:hAnsi="Cambria" w:cstheme="minorHAnsi"/>
          <w:sz w:val="24"/>
          <w:szCs w:val="24"/>
          <w:highlight w:val="none"/>
        </w:rPr>
      </w:pPr>
    </w:p>
    <w:p>
      <w:pPr>
        <w:pStyle w:val="14"/>
        <w:numPr>
          <w:ilvl w:val="0"/>
          <w:numId w:val="1"/>
        </w:numPr>
        <w:ind w:left="284" w:hanging="284"/>
        <w:jc w:val="both"/>
        <w:rPr>
          <w:rFonts w:ascii="Cambria" w:hAnsi="Cambria" w:cs="Verdana"/>
          <w:bCs/>
          <w:i/>
          <w:color w:val="000000"/>
          <w:sz w:val="20"/>
          <w:szCs w:val="20"/>
          <w:highlight w:val="none"/>
        </w:rPr>
      </w:pPr>
      <w:r>
        <w:rPr>
          <w:rFonts w:ascii="Cambria" w:hAnsi="Cambria" w:cs="Verdana"/>
          <w:b/>
          <w:bCs/>
          <w:color w:val="000000"/>
          <w:sz w:val="24"/>
          <w:szCs w:val="24"/>
          <w:highlight w:val="none"/>
        </w:rPr>
        <w:t xml:space="preserve">Additional information </w:t>
      </w:r>
      <w:r>
        <w:rPr>
          <w:rFonts w:ascii="Cambria" w:hAnsi="Cambria" w:cs="Verdana"/>
          <w:bCs/>
          <w:i/>
          <w:color w:val="000000"/>
          <w:sz w:val="20"/>
          <w:szCs w:val="20"/>
          <w:highlight w:val="none"/>
        </w:rPr>
        <w:t>(Additional space for comments that have not been mentioned in the above sections, if any.)</w:t>
      </w:r>
    </w:p>
    <w:p>
      <w:pPr>
        <w:snapToGrid w:val="0"/>
        <w:spacing w:after="120" w:line="240" w:lineRule="auto"/>
        <w:rPr>
          <w:rFonts w:ascii="Cambria" w:hAnsi="Cambria" w:cs="Arial"/>
          <w:color w:val="000000"/>
          <w:sz w:val="24"/>
          <w:szCs w:val="24"/>
          <w:highlight w:val="none"/>
          <w:lang w:val="en-GB"/>
        </w:rPr>
      </w:pPr>
      <w:r>
        <w:rPr>
          <w:rFonts w:ascii="Cambria" w:hAnsi="Cambria" w:cs="Arial"/>
          <w:color w:val="000000"/>
          <w:sz w:val="24"/>
          <w:szCs w:val="24"/>
          <w:highlight w:val="none"/>
        </w:rPr>
        <w:t>The ITU Regional Office for Africa in Addis Ababa represents the Union in Africa and helps the 44 Member States in the region. Enabling and accelerating digital transformation is at the heart of the work on the continent and working in partnership is critical to advancing digital development as bringing emerging technologies and digital solutions in areas such as education, health, and finance, can only be achieved as a collective effort. The internship candidate will contribute to projects that the ITU Regional Office for Africa has in its portfolio.</w:t>
      </w:r>
    </w:p>
    <w:sectPr>
      <w:headerReference r:id="rId5" w:type="default"/>
      <w:footerReference r:id="rId6" w:type="default"/>
      <w:pgSz w:w="12240" w:h="15840"/>
      <w:pgMar w:top="1021" w:right="1134" w:bottom="1021" w:left="1134"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Tahoma">
    <w:panose1 w:val="020B0604030504040204"/>
    <w:charset w:val="00"/>
    <w:family w:val="swiss"/>
    <w:pitch w:val="default"/>
    <w:sig w:usb0="E1002EFF" w:usb1="C000605B" w:usb2="00000029" w:usb3="00000000" w:csb0="200101FF" w:csb1="20280000"/>
  </w:font>
  <w:font w:name="custom3fac55cbb9994ed2a9dda">
    <w:altName w:val="Cambria"/>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240" w:lineRule="auto"/>
      <w:ind w:left="-397" w:right="-397"/>
      <w:jc w:val="center"/>
      <w:rPr>
        <w:color w:val="3E8EDE"/>
        <w:sz w:val="18"/>
        <w:szCs w:val="18"/>
        <w:lang w:val="fr-CH"/>
      </w:rPr>
    </w:pPr>
    <w:r>
      <w:rPr>
        <w:color w:val="3E8EDE"/>
        <w:sz w:val="18"/>
        <w:szCs w:val="18"/>
        <w:lang w:val="fr-CH"/>
      </w:rPr>
      <w:t>International Telecommunication Union • Place des Nations, CH</w:t>
    </w:r>
    <w:r>
      <w:rPr>
        <w:color w:val="3E8EDE"/>
        <w:sz w:val="18"/>
        <w:szCs w:val="18"/>
        <w:lang w:val="fr-CH"/>
      </w:rPr>
      <w:noBreakHyphen/>
    </w:r>
    <w:r>
      <w:rPr>
        <w:color w:val="3E8EDE"/>
        <w:sz w:val="18"/>
        <w:szCs w:val="18"/>
        <w:lang w:val="fr-CH"/>
      </w:rPr>
      <w:t xml:space="preserve">1211 Geneva 20, Switzerland </w:t>
    </w:r>
    <w:r>
      <w:rPr>
        <w:color w:val="3E8EDE"/>
        <w:sz w:val="18"/>
        <w:szCs w:val="18"/>
        <w:lang w:val="fr-CH"/>
      </w:rPr>
      <w:br w:type="textWrapping"/>
    </w:r>
    <w:r>
      <w:rPr>
        <w:color w:val="3E8EDE"/>
        <w:sz w:val="18"/>
        <w:szCs w:val="18"/>
        <w:lang w:val="fr-CH"/>
      </w:rPr>
      <w:t xml:space="preserve">Tel: +41 22 730 5111 • Fax: +41 22 733 7256 • </w:t>
    </w:r>
    <w:r>
      <w:rPr>
        <w:color w:val="3E8EDE"/>
        <w:sz w:val="18"/>
        <w:szCs w:val="18"/>
        <w:lang w:val="fr-CH"/>
      </w:rPr>
      <w:br w:type="textWrapping"/>
    </w:r>
    <w:r>
      <w:rPr>
        <w:color w:val="3E8EDE"/>
        <w:sz w:val="18"/>
        <w:szCs w:val="18"/>
        <w:lang w:val="fr-CH"/>
      </w:rPr>
      <w:t xml:space="preserve">E-mail: </w:t>
    </w:r>
    <w:r>
      <w:fldChar w:fldCharType="begin"/>
    </w:r>
    <w:r>
      <w:instrText xml:space="preserve"> HYPERLINK "mailto:itumail@itu.int" </w:instrText>
    </w:r>
    <w:r>
      <w:fldChar w:fldCharType="separate"/>
    </w:r>
    <w:r>
      <w:rPr>
        <w:color w:val="3E8EDE"/>
        <w:sz w:val="18"/>
        <w:szCs w:val="18"/>
        <w:lang w:val="fr-CH"/>
      </w:rPr>
      <w:t>itumail@itu.int</w:t>
    </w:r>
    <w:r>
      <w:rPr>
        <w:color w:val="3E8EDE"/>
        <w:sz w:val="18"/>
        <w:szCs w:val="18"/>
        <w:lang w:val="fr-CH"/>
      </w:rPr>
      <w:fldChar w:fldCharType="end"/>
    </w:r>
    <w:r>
      <w:rPr>
        <w:color w:val="3E8EDE"/>
        <w:sz w:val="18"/>
        <w:szCs w:val="18"/>
        <w:lang w:val="fr-CH"/>
      </w:rPr>
      <w:t xml:space="preserve"> • </w:t>
    </w:r>
    <w:r>
      <w:fldChar w:fldCharType="begin"/>
    </w:r>
    <w:r>
      <w:instrText xml:space="preserve"> HYPERLINK "http://www.itu.int" </w:instrText>
    </w:r>
    <w:r>
      <w:fldChar w:fldCharType="separate"/>
    </w:r>
    <w:r>
      <w:rPr>
        <w:color w:val="3E8EDE"/>
        <w:sz w:val="18"/>
        <w:szCs w:val="18"/>
        <w:lang w:val="fr-CH"/>
      </w:rPr>
      <w:t>www.itu.int</w:t>
    </w:r>
    <w:r>
      <w:rPr>
        <w:color w:val="3E8EDE"/>
        <w:sz w:val="18"/>
        <w:szCs w:val="18"/>
        <w:lang w:val="fr-CH"/>
      </w:rPr>
      <w:fldChar w:fldCharType="end"/>
    </w:r>
    <w:r>
      <w:rPr>
        <w:color w:val="3E8EDE"/>
        <w:sz w:val="18"/>
        <w:szCs w:val="18"/>
        <w:lang w:val="fr-CH"/>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A7710C"/>
    <w:multiLevelType w:val="multilevel"/>
    <w:tmpl w:val="09A7710C"/>
    <w:lvl w:ilvl="0" w:tentative="0">
      <w:start w:val="1"/>
      <w:numFmt w:val="decimal"/>
      <w:lvlText w:val="%1."/>
      <w:lvlJc w:val="left"/>
      <w:pPr>
        <w:ind w:left="7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7B53220"/>
    <w:multiLevelType w:val="multilevel"/>
    <w:tmpl w:val="17B53220"/>
    <w:lvl w:ilvl="0" w:tentative="0">
      <w:start w:val="1"/>
      <w:numFmt w:val="upperLetter"/>
      <w:lvlText w:val="%1."/>
      <w:lvlJc w:val="left"/>
      <w:pPr>
        <w:ind w:left="720" w:hanging="360"/>
      </w:pPr>
      <w:rPr>
        <w:rFonts w:hint="default"/>
        <w:b/>
        <w:i w:val="0"/>
        <w:sz w:val="24"/>
        <w:szCs w:val="24"/>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52915191"/>
    <w:multiLevelType w:val="multilevel"/>
    <w:tmpl w:val="52915191"/>
    <w:lvl w:ilvl="0" w:tentative="0">
      <w:start w:val="1"/>
      <w:numFmt w:val="bullet"/>
      <w:lvlText w:val=""/>
      <w:lvlJc w:val="left"/>
      <w:pPr>
        <w:ind w:left="1080" w:hanging="360"/>
      </w:pPr>
      <w:rPr>
        <w:rFonts w:hint="default" w:ascii="Symbol" w:hAnsi="Symbol"/>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3">
    <w:nsid w:val="59526EA7"/>
    <w:multiLevelType w:val="multilevel"/>
    <w:tmpl w:val="59526EA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60E866DE"/>
    <w:multiLevelType w:val="multilevel"/>
    <w:tmpl w:val="60E866DE"/>
    <w:lvl w:ilvl="0" w:tentative="0">
      <w:start w:val="0"/>
      <w:numFmt w:val="bullet"/>
      <w:lvlText w:val="•"/>
      <w:lvlJc w:val="left"/>
      <w:pPr>
        <w:ind w:left="560" w:hanging="560"/>
      </w:pPr>
      <w:rPr>
        <w:rFonts w:hint="default" w:ascii="Helvetica" w:hAnsi="Helvetica" w:cs="Helvetica" w:eastAsiaTheme="minorHAnsi"/>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589"/>
    <w:rsid w:val="00050547"/>
    <w:rsid w:val="00192A64"/>
    <w:rsid w:val="001B3C8E"/>
    <w:rsid w:val="001B6438"/>
    <w:rsid w:val="002768D0"/>
    <w:rsid w:val="002D7DF7"/>
    <w:rsid w:val="00322179"/>
    <w:rsid w:val="00337A7B"/>
    <w:rsid w:val="003833B0"/>
    <w:rsid w:val="003852AC"/>
    <w:rsid w:val="003857A7"/>
    <w:rsid w:val="004521F6"/>
    <w:rsid w:val="00462308"/>
    <w:rsid w:val="00470DF4"/>
    <w:rsid w:val="0052104C"/>
    <w:rsid w:val="00527FA9"/>
    <w:rsid w:val="005B6FBD"/>
    <w:rsid w:val="005F4A50"/>
    <w:rsid w:val="0060012A"/>
    <w:rsid w:val="00630769"/>
    <w:rsid w:val="0066784D"/>
    <w:rsid w:val="006C3D64"/>
    <w:rsid w:val="007A6C06"/>
    <w:rsid w:val="007B3C21"/>
    <w:rsid w:val="008B6D63"/>
    <w:rsid w:val="008E37A1"/>
    <w:rsid w:val="0090674F"/>
    <w:rsid w:val="00970122"/>
    <w:rsid w:val="009727D9"/>
    <w:rsid w:val="009B233F"/>
    <w:rsid w:val="009D49D9"/>
    <w:rsid w:val="009D5B4A"/>
    <w:rsid w:val="00A05E02"/>
    <w:rsid w:val="00A134E7"/>
    <w:rsid w:val="00A927AC"/>
    <w:rsid w:val="00B421B1"/>
    <w:rsid w:val="00B848E5"/>
    <w:rsid w:val="00BF21F2"/>
    <w:rsid w:val="00C2701B"/>
    <w:rsid w:val="00C5422D"/>
    <w:rsid w:val="00C90A4E"/>
    <w:rsid w:val="00CD4E39"/>
    <w:rsid w:val="00D36A7F"/>
    <w:rsid w:val="00DB3C3F"/>
    <w:rsid w:val="00DC2D90"/>
    <w:rsid w:val="00DD67AB"/>
    <w:rsid w:val="00E12E4E"/>
    <w:rsid w:val="00E1748E"/>
    <w:rsid w:val="00E50089"/>
    <w:rsid w:val="00E95ED6"/>
    <w:rsid w:val="00EA5271"/>
    <w:rsid w:val="00EB1589"/>
    <w:rsid w:val="00EC1F4F"/>
    <w:rsid w:val="00ED3D4B"/>
    <w:rsid w:val="00F347AA"/>
    <w:rsid w:val="00F45A26"/>
    <w:rsid w:val="00F73449"/>
    <w:rsid w:val="00FF12B1"/>
    <w:rsid w:val="075B3924"/>
    <w:rsid w:val="16DD275E"/>
    <w:rsid w:val="172D2585"/>
    <w:rsid w:val="1D6229DB"/>
    <w:rsid w:val="441C4C3F"/>
    <w:rsid w:val="4CBD633E"/>
    <w:rsid w:val="7A67186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2"/>
    <w:basedOn w:val="1"/>
    <w:next w:val="1"/>
    <w:link w:val="12"/>
    <w:qFormat/>
    <w:uiPriority w:val="0"/>
    <w:pPr>
      <w:keepNext/>
      <w:spacing w:after="0" w:line="240" w:lineRule="auto"/>
      <w:outlineLvl w:val="1"/>
    </w:pPr>
    <w:rPr>
      <w:rFonts w:ascii="Times New Roman" w:hAnsi="Times New Roman" w:eastAsia="Times New Roman" w:cs="Times New Roman"/>
      <w:sz w:val="24"/>
      <w:szCs w:val="20"/>
      <w:u w:val="single"/>
      <w:lang w:eastAsia="en-US"/>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3"/>
    <w:qFormat/>
    <w:uiPriority w:val="0"/>
    <w:pPr>
      <w:spacing w:after="0" w:line="240" w:lineRule="auto"/>
      <w:ind w:right="-1620"/>
    </w:pPr>
    <w:rPr>
      <w:rFonts w:ascii="Times New Roman" w:hAnsi="Times New Roman" w:eastAsia="Times New Roman" w:cs="Times New Roman"/>
      <w:sz w:val="24"/>
      <w:szCs w:val="20"/>
      <w:lang w:eastAsia="en-US"/>
    </w:rPr>
  </w:style>
  <w:style w:type="paragraph" w:styleId="4">
    <w:name w:val="footer"/>
    <w:basedOn w:val="1"/>
    <w:link w:val="10"/>
    <w:unhideWhenUsed/>
    <w:qFormat/>
    <w:uiPriority w:val="99"/>
    <w:pPr>
      <w:tabs>
        <w:tab w:val="center" w:pos="4680"/>
        <w:tab w:val="right" w:pos="9360"/>
      </w:tabs>
      <w:spacing w:after="0" w:line="240" w:lineRule="auto"/>
    </w:pPr>
  </w:style>
  <w:style w:type="paragraph" w:styleId="5">
    <w:name w:val="header"/>
    <w:basedOn w:val="1"/>
    <w:link w:val="9"/>
    <w:unhideWhenUsed/>
    <w:qFormat/>
    <w:uiPriority w:val="99"/>
    <w:pPr>
      <w:tabs>
        <w:tab w:val="center" w:pos="4680"/>
        <w:tab w:val="right" w:pos="9360"/>
      </w:tabs>
      <w:spacing w:after="0" w:line="240" w:lineRule="auto"/>
    </w:pPr>
  </w:style>
  <w:style w:type="paragraph" w:customStyle="1" w:styleId="8">
    <w:name w:val="Default"/>
    <w:qFormat/>
    <w:uiPriority w:val="0"/>
    <w:pPr>
      <w:autoSpaceDE w:val="0"/>
      <w:autoSpaceDN w:val="0"/>
      <w:adjustRightInd w:val="0"/>
      <w:spacing w:after="0" w:line="240" w:lineRule="auto"/>
    </w:pPr>
    <w:rPr>
      <w:rFonts w:ascii="Verdana" w:hAnsi="Verdana" w:cs="Verdana" w:eastAsiaTheme="minorEastAsia"/>
      <w:color w:val="000000"/>
      <w:sz w:val="24"/>
      <w:szCs w:val="24"/>
      <w:lang w:val="en-US" w:eastAsia="zh-CN" w:bidi="ar-SA"/>
    </w:rPr>
  </w:style>
  <w:style w:type="character" w:customStyle="1" w:styleId="9">
    <w:name w:val="Header Char"/>
    <w:basedOn w:val="7"/>
    <w:link w:val="5"/>
    <w:qFormat/>
    <w:uiPriority w:val="99"/>
  </w:style>
  <w:style w:type="character" w:customStyle="1" w:styleId="10">
    <w:name w:val="Footer Char"/>
    <w:basedOn w:val="7"/>
    <w:link w:val="4"/>
    <w:qFormat/>
    <w:uiPriority w:val="99"/>
  </w:style>
  <w:style w:type="paragraph" w:customStyle="1" w:styleId="11">
    <w:name w:val="FirstFooter"/>
    <w:basedOn w:val="1"/>
    <w:qFormat/>
    <w:uiPriority w:val="0"/>
    <w:pPr>
      <w:spacing w:before="40" w:after="0" w:line="280" w:lineRule="exact"/>
    </w:pPr>
    <w:rPr>
      <w:rFonts w:ascii="Calibri" w:hAnsi="Calibri" w:eastAsia="Times New Roman" w:cs="Calibri"/>
      <w:sz w:val="16"/>
      <w:lang w:eastAsia="en-US"/>
    </w:rPr>
  </w:style>
  <w:style w:type="character" w:customStyle="1" w:styleId="12">
    <w:name w:val="Heading 2 Char"/>
    <w:basedOn w:val="7"/>
    <w:link w:val="2"/>
    <w:qFormat/>
    <w:uiPriority w:val="0"/>
    <w:rPr>
      <w:rFonts w:ascii="Times New Roman" w:hAnsi="Times New Roman" w:eastAsia="Times New Roman" w:cs="Times New Roman"/>
      <w:sz w:val="24"/>
      <w:szCs w:val="20"/>
      <w:u w:val="single"/>
      <w:lang w:eastAsia="en-US"/>
    </w:rPr>
  </w:style>
  <w:style w:type="character" w:customStyle="1" w:styleId="13">
    <w:name w:val="Body Text Char"/>
    <w:basedOn w:val="7"/>
    <w:link w:val="3"/>
    <w:qFormat/>
    <w:uiPriority w:val="0"/>
    <w:rPr>
      <w:rFonts w:ascii="Times New Roman" w:hAnsi="Times New Roman" w:eastAsia="Times New Roman" w:cs="Times New Roman"/>
      <w:sz w:val="24"/>
      <w:szCs w:val="20"/>
      <w:lang w:eastAsia="en-US"/>
    </w:rPr>
  </w:style>
  <w:style w:type="paragraph" w:styleId="1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datastoreItem>
</file>

<file path=docProps/app.xml><?xml version="1.0" encoding="utf-8"?>
<Properties xmlns="http://schemas.openxmlformats.org/officeDocument/2006/extended-properties" xmlns:vt="http://schemas.openxmlformats.org/officeDocument/2006/docPropsVTypes">
  <Template>Normal.dotm</Template>
  <Company>ITU</Company>
  <Pages>4</Pages>
  <Words>1523</Words>
  <Characters>8684</Characters>
  <Lines>72</Lines>
  <Paragraphs>20</Paragraphs>
  <TotalTime>1005</TotalTime>
  <ScaleCrop>false</ScaleCrop>
  <LinksUpToDate>false</LinksUpToDate>
  <CharactersWithSpaces>10187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2023-02-23T14:56:00Z</dcterms:created>
  <dc:creator>Christine Sund</dc:creator>
  <cp:lastModifiedBy>Yilin HOU</cp:lastModifiedBy>
  <cp:lastPrinted>2017-08-23T11:38:00Z</cp:lastPrinted>
  <dcterms:modified xsi:type="dcterms:W3CDTF">2023-03-22T08:32:15Z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9B8859D7D48E4626A01A271F5A64002D</vt:lpwstr>
  </property>
</Properties>
</file>