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0F36D076" w:rsidR="00763913" w:rsidRPr="00090120" w:rsidRDefault="005517C9" w:rsidP="00771842">
            <w:pPr>
              <w:pStyle w:val="Title"/>
              <w:jc w:val="left"/>
              <w:rPr>
                <w:color w:val="1F497D" w:themeColor="text2"/>
                <w:szCs w:val="22"/>
                <w:lang w:val="en-BE"/>
              </w:rPr>
            </w:pPr>
            <w:r w:rsidRPr="009F3448">
              <w:rPr>
                <w:color w:val="000000" w:themeColor="text1"/>
                <w:szCs w:val="22"/>
              </w:rPr>
              <w:t>Intern –</w:t>
            </w:r>
            <w:r>
              <w:rPr>
                <w:color w:val="1F497D" w:themeColor="text2"/>
                <w:szCs w:val="22"/>
              </w:rPr>
              <w:t xml:space="preserve"> </w:t>
            </w:r>
            <w:r w:rsidR="00090120">
              <w:rPr>
                <w:color w:val="E36C0A" w:themeColor="accent6" w:themeShade="BF"/>
                <w:szCs w:val="22"/>
                <w:lang w:val="en-BE"/>
              </w:rPr>
              <w:t>Migration Health (MH)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627CEF3A" w:rsidR="00763913" w:rsidRPr="00090120" w:rsidRDefault="00090120" w:rsidP="00771842">
            <w:pPr>
              <w:pStyle w:val="Title"/>
              <w:jc w:val="left"/>
              <w:rPr>
                <w:color w:val="1F497D" w:themeColor="text2"/>
                <w:szCs w:val="22"/>
                <w:lang w:val="en-BE"/>
              </w:rPr>
            </w:pPr>
            <w:r>
              <w:rPr>
                <w:color w:val="1F497D" w:themeColor="text2"/>
                <w:szCs w:val="22"/>
                <w:lang w:val="en-BE"/>
              </w:rPr>
              <w:t xml:space="preserve">Brussels, Belgium 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57C0D5D6" w:rsidR="00763913" w:rsidRPr="00090120" w:rsidRDefault="00090120" w:rsidP="00771842">
            <w:pPr>
              <w:pStyle w:val="Title"/>
              <w:jc w:val="left"/>
              <w:rPr>
                <w:color w:val="1F497D" w:themeColor="text2"/>
                <w:szCs w:val="22"/>
                <w:lang w:val="en-BE"/>
              </w:rPr>
            </w:pPr>
            <w:r>
              <w:rPr>
                <w:color w:val="E36C0A" w:themeColor="accent6" w:themeShade="BF"/>
                <w:szCs w:val="22"/>
                <w:lang w:val="en-BE"/>
              </w:rPr>
              <w:t>Migration Health Division (MHD)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proofErr w:type="gramStart"/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</w:t>
            </w:r>
            <w:proofErr w:type="gramEnd"/>
            <w:r w:rsidRPr="00CD72F7">
              <w:rPr>
                <w:szCs w:val="22"/>
              </w:rPr>
              <w:t xml:space="preserve">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50883AD1" w:rsidR="00763913" w:rsidRPr="00090120" w:rsidRDefault="00090120" w:rsidP="00771842">
            <w:pPr>
              <w:pStyle w:val="Title"/>
              <w:jc w:val="left"/>
              <w:rPr>
                <w:color w:val="1F497D" w:themeColor="text2"/>
                <w:szCs w:val="22"/>
                <w:lang w:val="en-BE"/>
              </w:rPr>
            </w:pPr>
            <w:r>
              <w:rPr>
                <w:color w:val="1F497D" w:themeColor="text2"/>
                <w:szCs w:val="22"/>
                <w:lang w:val="en-BE"/>
              </w:rPr>
              <w:t xml:space="preserve">RO Brussels 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5C1DE881" w:rsidR="00241BC9" w:rsidRPr="00090120" w:rsidRDefault="00090120" w:rsidP="00241BC9">
            <w:pPr>
              <w:pStyle w:val="Title"/>
              <w:rPr>
                <w:color w:val="1F497D" w:themeColor="text2"/>
                <w:szCs w:val="22"/>
                <w:lang w:val="en-BE"/>
              </w:rPr>
            </w:pPr>
            <w:r>
              <w:rPr>
                <w:color w:val="1F497D" w:themeColor="text2"/>
                <w:szCs w:val="22"/>
                <w:lang w:val="en-BE"/>
              </w:rPr>
              <w:t xml:space="preserve">Migration Health Officer 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40227E95" w14:textId="2E2CAEA2" w:rsidR="00090120" w:rsidRPr="00090120" w:rsidRDefault="00090120" w:rsidP="00241BC9">
            <w:pPr>
              <w:rPr>
                <w:color w:val="E36C0A" w:themeColor="accent6" w:themeShade="BF"/>
                <w:lang w:val="en-BE"/>
              </w:rPr>
            </w:pPr>
            <w:r w:rsidRPr="00090120">
              <w:rPr>
                <w:color w:val="E36C0A" w:themeColor="accent6" w:themeShade="BF"/>
              </w:rPr>
              <w:t xml:space="preserve">The incumbent will assist </w:t>
            </w:r>
            <w:r w:rsidRPr="00090120">
              <w:rPr>
                <w:color w:val="E36C0A" w:themeColor="accent6" w:themeShade="BF"/>
              </w:rPr>
              <w:t>with and</w:t>
            </w:r>
            <w:r w:rsidRPr="00090120">
              <w:rPr>
                <w:color w:val="E36C0A" w:themeColor="accent6" w:themeShade="BF"/>
              </w:rPr>
              <w:t xml:space="preserve"> be responsible for a variety of tasks encompassing the field of migration health. The intern will provide direct support for the implementation of Migration Health (MH) activities of IOM in Europe</w:t>
            </w:r>
            <w:r>
              <w:rPr>
                <w:color w:val="E36C0A" w:themeColor="accent6" w:themeShade="BF"/>
                <w:lang w:val="en-BE"/>
              </w:rPr>
              <w:t xml:space="preserve">. </w:t>
            </w:r>
          </w:p>
          <w:p w14:paraId="120C1E2B" w14:textId="1BAF7A0E" w:rsidR="00090120" w:rsidRPr="00090120" w:rsidRDefault="009F3448" w:rsidP="00090120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1BD8507B" w:rsidR="00241BC9" w:rsidRPr="00090120" w:rsidRDefault="00090120" w:rsidP="00241BC9">
            <w:pPr>
              <w:rPr>
                <w:color w:val="FF0000"/>
                <w:lang w:val="en-BE"/>
              </w:rPr>
            </w:pPr>
            <w:r w:rsidRPr="00501742">
              <w:rPr>
                <w:color w:val="E36C0A" w:themeColor="accent6" w:themeShade="BF"/>
              </w:rPr>
              <w:t>The Intern will work under the overall supervision of the Senior Regional Migration Health Advisor for Europe &amp; Liaison to the EU and the direct supervision of the Migration Health Officer in cooperation with MH</w:t>
            </w:r>
            <w:r w:rsidRPr="00501742">
              <w:rPr>
                <w:color w:val="E36C0A" w:themeColor="accent6" w:themeShade="BF"/>
              </w:rPr>
              <w:t>D</w:t>
            </w:r>
            <w:r w:rsidRPr="00501742">
              <w:rPr>
                <w:color w:val="E36C0A" w:themeColor="accent6" w:themeShade="BF"/>
              </w:rPr>
              <w:t xml:space="preserve"> unit at RO Brussels and other colleagues in the Field Missions and IOM Headquarters</w:t>
            </w:r>
            <w:r w:rsidRPr="00501742">
              <w:rPr>
                <w:color w:val="E36C0A" w:themeColor="accent6" w:themeShade="BF"/>
              </w:rPr>
              <w:t>.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Pr="00090120" w:rsidRDefault="00241BC9" w:rsidP="00241BC9">
            <w:pPr>
              <w:pStyle w:val="Default"/>
              <w:jc w:val="both"/>
              <w:rPr>
                <w:color w:val="E36C0A" w:themeColor="accent6" w:themeShade="BF"/>
                <w:sz w:val="22"/>
                <w:szCs w:val="20"/>
                <w:lang w:val="en-GB" w:eastAsia="en-GB"/>
              </w:rPr>
            </w:pPr>
          </w:p>
          <w:p w14:paraId="1A63248E" w14:textId="77777777" w:rsidR="00090120" w:rsidRPr="00090120" w:rsidRDefault="00090120" w:rsidP="00090120">
            <w:pPr>
              <w:widowControl w:val="0"/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090120">
              <w:rPr>
                <w:color w:val="E36C0A" w:themeColor="accent6" w:themeShade="BF"/>
              </w:rPr>
              <w:t>The Intern will have the following duties and responsibilities:</w:t>
            </w:r>
          </w:p>
          <w:p w14:paraId="687E284F" w14:textId="77777777" w:rsidR="00090120" w:rsidRPr="00090120" w:rsidRDefault="00090120" w:rsidP="00090120">
            <w:pPr>
              <w:widowControl w:val="0"/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</w:p>
          <w:p w14:paraId="4ADD5EE7" w14:textId="3B4E77A3" w:rsidR="00090120" w:rsidRPr="00090120" w:rsidRDefault="00090120" w:rsidP="00090120">
            <w:pPr>
              <w:widowControl w:val="0"/>
              <w:numPr>
                <w:ilvl w:val="0"/>
                <w:numId w:val="35"/>
              </w:numPr>
              <w:autoSpaceDE/>
              <w:autoSpaceDN/>
              <w:adjustRightInd/>
              <w:spacing w:after="0"/>
              <w:jc w:val="left"/>
              <w:rPr>
                <w:color w:val="E36C0A" w:themeColor="accent6" w:themeShade="BF"/>
              </w:rPr>
            </w:pPr>
            <w:r w:rsidRPr="00090120">
              <w:rPr>
                <w:color w:val="E36C0A" w:themeColor="accent6" w:themeShade="BF"/>
              </w:rPr>
              <w:t xml:space="preserve">Draft correspondences for external stakeholders and other IOM field offices engaged in migration health to support project development, implementation and monitoring of </w:t>
            </w:r>
            <w:proofErr w:type="gramStart"/>
            <w:r w:rsidRPr="00090120">
              <w:rPr>
                <w:color w:val="E36C0A" w:themeColor="accent6" w:themeShade="BF"/>
              </w:rPr>
              <w:t>projects;</w:t>
            </w:r>
            <w:proofErr w:type="gramEnd"/>
          </w:p>
          <w:p w14:paraId="298E9597" w14:textId="77777777" w:rsidR="00090120" w:rsidRPr="00090120" w:rsidRDefault="00090120" w:rsidP="00090120">
            <w:pPr>
              <w:widowControl w:val="0"/>
              <w:numPr>
                <w:ilvl w:val="0"/>
                <w:numId w:val="35"/>
              </w:numPr>
              <w:autoSpaceDE/>
              <w:autoSpaceDN/>
              <w:adjustRightInd/>
              <w:spacing w:after="0"/>
              <w:jc w:val="left"/>
              <w:rPr>
                <w:color w:val="E36C0A" w:themeColor="accent6" w:themeShade="BF"/>
              </w:rPr>
            </w:pPr>
            <w:r w:rsidRPr="00090120">
              <w:rPr>
                <w:color w:val="E36C0A" w:themeColor="accent6" w:themeShade="BF"/>
              </w:rPr>
              <w:t xml:space="preserve">Provide assistance by monitoring EU Member States’ priorities, policies, and agreements, as well as EC programmes relevant to mobility, migration, ethnic minorities and </w:t>
            </w:r>
            <w:proofErr w:type="gramStart"/>
            <w:r w:rsidRPr="00090120">
              <w:rPr>
                <w:color w:val="E36C0A" w:themeColor="accent6" w:themeShade="BF"/>
              </w:rPr>
              <w:t>health;</w:t>
            </w:r>
            <w:proofErr w:type="gramEnd"/>
            <w:r w:rsidRPr="00090120">
              <w:rPr>
                <w:color w:val="E36C0A" w:themeColor="accent6" w:themeShade="BF"/>
              </w:rPr>
              <w:t xml:space="preserve"> </w:t>
            </w:r>
          </w:p>
          <w:p w14:paraId="5E0D9B3E" w14:textId="77777777" w:rsidR="00090120" w:rsidRPr="00090120" w:rsidRDefault="00090120" w:rsidP="00090120">
            <w:pPr>
              <w:widowControl w:val="0"/>
              <w:numPr>
                <w:ilvl w:val="0"/>
                <w:numId w:val="35"/>
              </w:numPr>
              <w:autoSpaceDE/>
              <w:autoSpaceDN/>
              <w:adjustRightInd/>
              <w:spacing w:after="0"/>
              <w:jc w:val="left"/>
              <w:rPr>
                <w:color w:val="E36C0A" w:themeColor="accent6" w:themeShade="BF"/>
              </w:rPr>
            </w:pPr>
            <w:r w:rsidRPr="00090120">
              <w:rPr>
                <w:color w:val="E36C0A" w:themeColor="accent6" w:themeShade="BF"/>
              </w:rPr>
              <w:t xml:space="preserve">Assist in the preparation of, participation in, and follow up of meetings and seminars with EU counterparts and other external (non-IOM) parties interested in migration and health matters, as well as in minorities related </w:t>
            </w:r>
            <w:proofErr w:type="gramStart"/>
            <w:r w:rsidRPr="00090120">
              <w:rPr>
                <w:color w:val="E36C0A" w:themeColor="accent6" w:themeShade="BF"/>
              </w:rPr>
              <w:t>issues;</w:t>
            </w:r>
            <w:proofErr w:type="gramEnd"/>
          </w:p>
          <w:p w14:paraId="4B098E1D" w14:textId="77777777" w:rsidR="00090120" w:rsidRPr="00090120" w:rsidRDefault="00090120" w:rsidP="00090120">
            <w:pPr>
              <w:widowControl w:val="0"/>
              <w:numPr>
                <w:ilvl w:val="0"/>
                <w:numId w:val="35"/>
              </w:numPr>
              <w:autoSpaceDE/>
              <w:autoSpaceDN/>
              <w:adjustRightInd/>
              <w:spacing w:after="0"/>
              <w:jc w:val="left"/>
              <w:rPr>
                <w:color w:val="E36C0A" w:themeColor="accent6" w:themeShade="BF"/>
              </w:rPr>
            </w:pPr>
            <w:r w:rsidRPr="00090120">
              <w:rPr>
                <w:color w:val="E36C0A" w:themeColor="accent6" w:themeShade="BF"/>
              </w:rPr>
              <w:t xml:space="preserve">Assist in drafting reports, presentations, correspondence and information documents, for internal and external distribution to European institutions, national and international organisations in Brussels, non-governmental organisations, public and private entities and other IOM </w:t>
            </w:r>
            <w:proofErr w:type="gramStart"/>
            <w:r w:rsidRPr="00090120">
              <w:rPr>
                <w:color w:val="E36C0A" w:themeColor="accent6" w:themeShade="BF"/>
              </w:rPr>
              <w:t>Missions;</w:t>
            </w:r>
            <w:proofErr w:type="gramEnd"/>
          </w:p>
          <w:p w14:paraId="489DBA4A" w14:textId="77777777" w:rsidR="00090120" w:rsidRPr="00090120" w:rsidRDefault="00090120" w:rsidP="00090120">
            <w:pPr>
              <w:widowControl w:val="0"/>
              <w:numPr>
                <w:ilvl w:val="0"/>
                <w:numId w:val="35"/>
              </w:numPr>
              <w:autoSpaceDE/>
              <w:autoSpaceDN/>
              <w:adjustRightInd/>
              <w:spacing w:after="0"/>
              <w:jc w:val="left"/>
              <w:rPr>
                <w:color w:val="E36C0A" w:themeColor="accent6" w:themeShade="BF"/>
              </w:rPr>
            </w:pPr>
            <w:r w:rsidRPr="00090120">
              <w:rPr>
                <w:color w:val="E36C0A" w:themeColor="accent6" w:themeShade="BF"/>
              </w:rPr>
              <w:t xml:space="preserve">Undertake duty travels and participate in meetings as </w:t>
            </w:r>
            <w:proofErr w:type="gramStart"/>
            <w:r w:rsidRPr="00090120">
              <w:rPr>
                <w:color w:val="E36C0A" w:themeColor="accent6" w:themeShade="BF"/>
              </w:rPr>
              <w:t>required;</w:t>
            </w:r>
            <w:proofErr w:type="gramEnd"/>
            <w:r w:rsidRPr="00090120">
              <w:rPr>
                <w:color w:val="E36C0A" w:themeColor="accent6" w:themeShade="BF"/>
              </w:rPr>
              <w:t xml:space="preserve"> </w:t>
            </w:r>
          </w:p>
          <w:p w14:paraId="45AE9ADF" w14:textId="77777777" w:rsidR="00090120" w:rsidRDefault="00090120" w:rsidP="00090120">
            <w:pPr>
              <w:rPr>
                <w:color w:val="E36C0A" w:themeColor="accent6" w:themeShade="BF"/>
              </w:rPr>
            </w:pPr>
          </w:p>
          <w:p w14:paraId="6963B2D9" w14:textId="7DB24207" w:rsidR="00090120" w:rsidRPr="00090120" w:rsidRDefault="00090120" w:rsidP="00090120">
            <w:pPr>
              <w:rPr>
                <w:color w:val="E36C0A" w:themeColor="accent6" w:themeShade="BF"/>
              </w:rPr>
            </w:pPr>
            <w:r w:rsidRPr="00090120">
              <w:rPr>
                <w:color w:val="E36C0A" w:themeColor="accent6" w:themeShade="BF"/>
              </w:rPr>
              <w:lastRenderedPageBreak/>
              <w:t xml:space="preserve">Any other tasks as may be </w:t>
            </w:r>
            <w:r w:rsidRPr="00090120">
              <w:rPr>
                <w:color w:val="E36C0A" w:themeColor="accent6" w:themeShade="BF"/>
              </w:rPr>
              <w:t>required.</w:t>
            </w:r>
          </w:p>
          <w:p w14:paraId="3B80ECCE" w14:textId="30D115EF" w:rsidR="008225E9" w:rsidRPr="00090120" w:rsidRDefault="008225E9" w:rsidP="008225E9">
            <w:pPr>
              <w:rPr>
                <w:b/>
                <w:bCs/>
                <w:color w:val="E36C0A" w:themeColor="accent6" w:themeShade="BF"/>
              </w:rPr>
            </w:pPr>
            <w:r w:rsidRPr="00090120">
              <w:rPr>
                <w:b/>
                <w:bCs/>
                <w:color w:val="E36C0A" w:themeColor="accent6" w:themeShade="BF"/>
              </w:rPr>
              <w:t>Training Components and Learning Elements</w:t>
            </w:r>
          </w:p>
          <w:p w14:paraId="4651D545" w14:textId="54943B13" w:rsidR="008225E9" w:rsidRPr="00090120" w:rsidRDefault="008225E9" w:rsidP="008225E9">
            <w:pPr>
              <w:ind w:left="360" w:hanging="360"/>
              <w:rPr>
                <w:color w:val="E36C0A" w:themeColor="accent6" w:themeShade="BF"/>
              </w:rPr>
            </w:pP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090120" w:rsidRPr="007B425E" w14:paraId="241A5997" w14:textId="77777777">
              <w:trPr>
                <w:trHeight w:val="324"/>
              </w:trPr>
              <w:tc>
                <w:tcPr>
                  <w:tcW w:w="0" w:type="auto"/>
                </w:tcPr>
                <w:p w14:paraId="4F429342" w14:textId="77777777" w:rsidR="00090120" w:rsidRDefault="00090120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  <w:p w14:paraId="2AF214F2" w14:textId="4835B3E1" w:rsidR="00090120" w:rsidRPr="007B425E" w:rsidRDefault="00090120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</w:tbl>
          <w:p w14:paraId="679D9111" w14:textId="53125501" w:rsidR="00241BC9" w:rsidRPr="00090120" w:rsidRDefault="00090120" w:rsidP="00501742">
            <w:pPr>
              <w:autoSpaceDE/>
              <w:autoSpaceDN/>
              <w:adjustRightInd/>
              <w:spacing w:after="0"/>
              <w:jc w:val="left"/>
              <w:rPr>
                <w:color w:val="FF0000"/>
                <w:szCs w:val="22"/>
                <w:lang w:val="en-BE"/>
              </w:rPr>
            </w:pPr>
            <w:r w:rsidRPr="00501742">
              <w:rPr>
                <w:color w:val="E36C0A" w:themeColor="accent6" w:themeShade="BF"/>
              </w:rPr>
              <w:t xml:space="preserve">Master’s degree in Public or Global Health, Health Informatics, </w:t>
            </w:r>
            <w:r w:rsidR="00501742" w:rsidRPr="00501742">
              <w:rPr>
                <w:color w:val="E36C0A" w:themeColor="accent6" w:themeShade="BF"/>
              </w:rPr>
              <w:t xml:space="preserve">Medicine, </w:t>
            </w:r>
            <w:r w:rsidRPr="00501742">
              <w:rPr>
                <w:color w:val="E36C0A" w:themeColor="accent6" w:themeShade="BF"/>
              </w:rPr>
              <w:t>Social Sciences, Political Science</w:t>
            </w:r>
            <w:r w:rsidRPr="00501742">
              <w:rPr>
                <w:color w:val="E36C0A" w:themeColor="accent6" w:themeShade="BF"/>
              </w:rPr>
              <w:t>, Anthropology (Medical), Psychology, Political Sciences, International Relations.</w:t>
            </w:r>
            <w:r w:rsidRPr="00501742">
              <w:rPr>
                <w:color w:val="FFC000"/>
                <w:szCs w:val="22"/>
                <w:lang w:val="en-BE"/>
              </w:rPr>
              <w:t xml:space="preserve">  </w:t>
            </w: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5E3E037A" w14:textId="77777777" w:rsidR="00241BC9" w:rsidRPr="00501742" w:rsidRDefault="00241BC9" w:rsidP="00241BC9">
            <w:pPr>
              <w:rPr>
                <w:color w:val="E36C0A" w:themeColor="accent6" w:themeShade="BF"/>
              </w:rPr>
            </w:pPr>
          </w:p>
          <w:p w14:paraId="321EB30D" w14:textId="17698683" w:rsidR="00241BC9" w:rsidRPr="00501742" w:rsidRDefault="00501742" w:rsidP="00501742">
            <w:pPr>
              <w:autoSpaceDE/>
              <w:autoSpaceDN/>
              <w:adjustRightInd/>
              <w:spacing w:after="0"/>
              <w:jc w:val="left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  <w:lang w:val="en-BE"/>
              </w:rPr>
              <w:t xml:space="preserve">1 year of experience preferred 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5781B67" w14:textId="77777777" w:rsidR="00241BC9" w:rsidRDefault="00241BC9" w:rsidP="00241BC9">
            <w:pPr>
              <w:spacing w:after="120"/>
              <w:rPr>
                <w:rFonts w:eastAsia="Arial"/>
                <w:sz w:val="20"/>
              </w:rPr>
            </w:pPr>
          </w:p>
          <w:p w14:paraId="647ECEED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Proven interest in migration/migration health </w:t>
            </w:r>
            <w:proofErr w:type="gramStart"/>
            <w:r w:rsidRPr="00501742">
              <w:rPr>
                <w:szCs w:val="22"/>
              </w:rPr>
              <w:t>topics;</w:t>
            </w:r>
            <w:proofErr w:type="gramEnd"/>
            <w:r w:rsidRPr="00501742">
              <w:rPr>
                <w:szCs w:val="22"/>
              </w:rPr>
              <w:t xml:space="preserve"> </w:t>
            </w:r>
          </w:p>
          <w:p w14:paraId="6FD545D8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Computer literacy, especially database tools and ability to produce </w:t>
            </w:r>
            <w:proofErr w:type="gramStart"/>
            <w:r w:rsidRPr="00501742">
              <w:rPr>
                <w:szCs w:val="22"/>
              </w:rPr>
              <w:t>graphs;</w:t>
            </w:r>
            <w:proofErr w:type="gramEnd"/>
            <w:r w:rsidRPr="00501742">
              <w:rPr>
                <w:szCs w:val="22"/>
              </w:rPr>
              <w:t xml:space="preserve"> </w:t>
            </w:r>
          </w:p>
          <w:p w14:paraId="63E567F4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Ability to manage logistic and administrative aspects of </w:t>
            </w:r>
            <w:proofErr w:type="gramStart"/>
            <w:r w:rsidRPr="00501742">
              <w:rPr>
                <w:szCs w:val="22"/>
              </w:rPr>
              <w:t>projects;</w:t>
            </w:r>
            <w:proofErr w:type="gramEnd"/>
          </w:p>
          <w:p w14:paraId="72D1D879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Strong organizational and proven communication </w:t>
            </w:r>
            <w:proofErr w:type="gramStart"/>
            <w:r w:rsidRPr="00501742">
              <w:rPr>
                <w:szCs w:val="22"/>
              </w:rPr>
              <w:t>skills;</w:t>
            </w:r>
            <w:proofErr w:type="gramEnd"/>
          </w:p>
          <w:p w14:paraId="776A9C2E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Ability to timely understand the Organization’s structure and </w:t>
            </w:r>
            <w:proofErr w:type="gramStart"/>
            <w:r w:rsidRPr="00501742">
              <w:rPr>
                <w:szCs w:val="22"/>
              </w:rPr>
              <w:t>portfolios;</w:t>
            </w:r>
            <w:proofErr w:type="gramEnd"/>
            <w:r w:rsidRPr="00501742">
              <w:rPr>
                <w:szCs w:val="22"/>
              </w:rPr>
              <w:t xml:space="preserve"> </w:t>
            </w:r>
          </w:p>
          <w:p w14:paraId="4FF68539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Ability to work effectively and harmoniously in a team of colleagues of varied cultural and professional </w:t>
            </w:r>
            <w:proofErr w:type="gramStart"/>
            <w:r w:rsidRPr="00501742">
              <w:rPr>
                <w:szCs w:val="22"/>
              </w:rPr>
              <w:t>backgrounds;</w:t>
            </w:r>
            <w:proofErr w:type="gramEnd"/>
            <w:r w:rsidRPr="00501742">
              <w:rPr>
                <w:szCs w:val="22"/>
              </w:rPr>
              <w:t xml:space="preserve"> </w:t>
            </w:r>
          </w:p>
          <w:p w14:paraId="3F61C6EE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Ability to produce quality work accurately and concisely according to set </w:t>
            </w:r>
            <w:proofErr w:type="gramStart"/>
            <w:r w:rsidRPr="00501742">
              <w:rPr>
                <w:szCs w:val="22"/>
              </w:rPr>
              <w:t>deadlines;</w:t>
            </w:r>
            <w:proofErr w:type="gramEnd"/>
            <w:r w:rsidRPr="00501742">
              <w:rPr>
                <w:szCs w:val="22"/>
              </w:rPr>
              <w:t xml:space="preserve"> </w:t>
            </w:r>
          </w:p>
          <w:p w14:paraId="25196F88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Practical experience of </w:t>
            </w:r>
            <w:proofErr w:type="gramStart"/>
            <w:r w:rsidRPr="00501742">
              <w:rPr>
                <w:szCs w:val="22"/>
              </w:rPr>
              <w:t>how to</w:t>
            </w:r>
            <w:proofErr w:type="gramEnd"/>
            <w:r w:rsidRPr="00501742">
              <w:rPr>
                <w:szCs w:val="22"/>
              </w:rPr>
              <w:t xml:space="preserve"> multi-task, prioritize and work independently;</w:t>
            </w:r>
          </w:p>
          <w:p w14:paraId="5BD86A6E" w14:textId="77777777" w:rsidR="00501742" w:rsidRPr="00501742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•</w:t>
            </w:r>
            <w:r w:rsidRPr="00501742">
              <w:rPr>
                <w:szCs w:val="22"/>
              </w:rPr>
              <w:tab/>
              <w:t xml:space="preserve">Related experience is an </w:t>
            </w:r>
            <w:proofErr w:type="gramStart"/>
            <w:r w:rsidRPr="00501742">
              <w:rPr>
                <w:szCs w:val="22"/>
              </w:rPr>
              <w:t>advantage;</w:t>
            </w:r>
            <w:proofErr w:type="gramEnd"/>
          </w:p>
          <w:p w14:paraId="350295F7" w14:textId="1877D661" w:rsidR="00241BC9" w:rsidRPr="009F3448" w:rsidRDefault="00501742" w:rsidP="00501742">
            <w:pPr>
              <w:ind w:left="360" w:hanging="360"/>
              <w:rPr>
                <w:szCs w:val="22"/>
              </w:rPr>
            </w:pPr>
            <w:r w:rsidRPr="00501742">
              <w:rPr>
                <w:szCs w:val="22"/>
              </w:rPr>
              <w:t>Knowledge of European institutions and policy in the field of public health and/or migration is an asset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</w:t>
            </w:r>
            <w:proofErr w:type="gramStart"/>
            <w:r w:rsidRPr="00C52B95">
              <w:rPr>
                <w:i/>
                <w:sz w:val="18"/>
                <w:szCs w:val="18"/>
              </w:rPr>
              <w:t>specify</w:t>
            </w:r>
            <w:proofErr w:type="gramEnd"/>
            <w:r w:rsidRPr="00C52B95">
              <w:rPr>
                <w:i/>
                <w:sz w:val="18"/>
                <w:szCs w:val="18"/>
              </w:rPr>
              <w:t xml:space="preserve">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D99CBE" w14:textId="77777777" w:rsidR="00501742" w:rsidRPr="00501742" w:rsidRDefault="00501742" w:rsidP="00241BC9">
            <w:pPr>
              <w:spacing w:after="0"/>
              <w:rPr>
                <w:color w:val="1F497D" w:themeColor="text2"/>
              </w:rPr>
            </w:pPr>
          </w:p>
          <w:p w14:paraId="155962AD" w14:textId="7192126C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501742">
              <w:rPr>
                <w:color w:val="E36C0A" w:themeColor="accent6" w:themeShade="BF"/>
                <w:szCs w:val="22"/>
                <w:lang w:val="en-US" w:eastAsia="en-US"/>
              </w:rPr>
              <w:t>Fluency in English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471008D6" w14:textId="77777777" w:rsidR="00241BC9" w:rsidRDefault="00501742" w:rsidP="00241BC9">
            <w:pPr>
              <w:spacing w:after="0"/>
              <w:rPr>
                <w:color w:val="1F497D" w:themeColor="text2"/>
                <w:lang w:val="en-BE"/>
              </w:rPr>
            </w:pPr>
            <w:r>
              <w:rPr>
                <w:color w:val="1F497D" w:themeColor="text2"/>
                <w:lang w:val="en-BE"/>
              </w:rPr>
              <w:t xml:space="preserve"> </w:t>
            </w:r>
          </w:p>
          <w:p w14:paraId="212B32E8" w14:textId="79589DB9" w:rsidR="00501742" w:rsidRPr="00501742" w:rsidRDefault="00501742" w:rsidP="00241BC9">
            <w:pPr>
              <w:spacing w:after="0"/>
              <w:rPr>
                <w:szCs w:val="22"/>
                <w:lang w:val="en-BE"/>
              </w:rPr>
            </w:pPr>
            <w:r>
              <w:rPr>
                <w:color w:val="1F497D" w:themeColor="text2"/>
                <w:szCs w:val="22"/>
                <w:lang w:val="en-BE"/>
              </w:rPr>
              <w:t xml:space="preserve">Working knowledge of French 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</w:p>
        </w:tc>
      </w:tr>
      <w:tr w:rsidR="00C3534F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C3534F" w:rsidRDefault="00C3534F" w:rsidP="00C3534F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t>The incumbent is expected to demonstrate the following values and competencies:</w:t>
            </w:r>
          </w:p>
          <w:p w14:paraId="172417DB" w14:textId="36F75E2A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lastRenderedPageBreak/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Inclusion and respect for diversity: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maintains high ethical standards and acts in a manner consistent with organizational principles/rules and standards of conduct.</w:t>
            </w:r>
          </w:p>
          <w:p w14:paraId="7A54F159" w14:textId="5188A16C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competent and committed manner and exercises careful judgment in meeting day-to-day challenges.</w:t>
            </w:r>
            <w:r>
              <w:rPr>
                <w:szCs w:val="22"/>
              </w:rPr>
              <w:br/>
            </w:r>
          </w:p>
          <w:p w14:paraId="27BBD945" w14:textId="77777777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Delivering results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Managing and sharing knowledge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continuously seeks to learn, share knowledge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inspiring and motivational way.</w:t>
            </w:r>
          </w:p>
          <w:p w14:paraId="2222B530" w14:textId="039A61B6" w:rsidR="00C3534F" w:rsidRPr="007B425E" w:rsidRDefault="00C3534F" w:rsidP="00C3534F">
            <w:pPr>
              <w:contextualSpacing/>
            </w:pPr>
          </w:p>
        </w:tc>
      </w:tr>
      <w:tr w:rsidR="00C3534F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Default="00C3534F" w:rsidP="00C3534F">
            <w:pPr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Notes</w:t>
            </w:r>
          </w:p>
        </w:tc>
      </w:tr>
      <w:tr w:rsidR="00C3534F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0C509804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F3368F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 xml:space="preserve">programmes and </w:t>
            </w:r>
            <w:proofErr w:type="gramStart"/>
            <w:r w:rsidRPr="00A16163">
              <w:rPr>
                <w:szCs w:val="22"/>
              </w:rPr>
              <w:t>activities;</w:t>
            </w:r>
            <w:proofErr w:type="gramEnd"/>
          </w:p>
          <w:p w14:paraId="33FAB1B0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7F7FE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8E82D5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4EE7D3D8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6E13F8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A4FADF4" w14:textId="77777777" w:rsidR="00C3534F" w:rsidRPr="00A16163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5BFF45B1" w14:textId="77777777" w:rsidR="00C3534F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C3534F" w:rsidRPr="00C3534F" w:rsidRDefault="00C3534F" w:rsidP="00C3534F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C3534F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77226C" w:rsidRDefault="00C3534F" w:rsidP="00C3534F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56228E19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58B4D515" w14:textId="77777777" w:rsidR="00C3534F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  <w:p w14:paraId="7B9112FB" w14:textId="57A7BAC4" w:rsidR="00501742" w:rsidRPr="00A16163" w:rsidRDefault="00501742" w:rsidP="00C3534F">
            <w:pPr>
              <w:spacing w:after="0"/>
              <w:rPr>
                <w:szCs w:val="22"/>
              </w:rPr>
            </w:pPr>
          </w:p>
        </w:tc>
      </w:tr>
      <w:tr w:rsidR="00C3534F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C3AB3" w14:textId="77777777" w:rsidR="00FF20E2" w:rsidRDefault="00FF20E2" w:rsidP="00F7350B">
      <w:r>
        <w:separator/>
      </w:r>
    </w:p>
  </w:endnote>
  <w:endnote w:type="continuationSeparator" w:id="0">
    <w:p w14:paraId="1E11798D" w14:textId="77777777" w:rsidR="00FF20E2" w:rsidRDefault="00FF20E2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B67FF" w14:textId="77777777" w:rsidR="00FF20E2" w:rsidRDefault="00FF20E2" w:rsidP="00F7350B">
      <w:r>
        <w:separator/>
      </w:r>
    </w:p>
  </w:footnote>
  <w:footnote w:type="continuationSeparator" w:id="0">
    <w:p w14:paraId="527170F0" w14:textId="77777777" w:rsidR="00FF20E2" w:rsidRDefault="00FF20E2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035C3"/>
    <w:multiLevelType w:val="hybridMultilevel"/>
    <w:tmpl w:val="8E6A016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6592B"/>
    <w:multiLevelType w:val="hybridMultilevel"/>
    <w:tmpl w:val="FA86A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1418398">
    <w:abstractNumId w:val="14"/>
  </w:num>
  <w:num w:numId="2" w16cid:durableId="1371609499">
    <w:abstractNumId w:val="15"/>
  </w:num>
  <w:num w:numId="3" w16cid:durableId="549654291">
    <w:abstractNumId w:val="16"/>
  </w:num>
  <w:num w:numId="4" w16cid:durableId="618219484">
    <w:abstractNumId w:val="6"/>
  </w:num>
  <w:num w:numId="5" w16cid:durableId="369260745">
    <w:abstractNumId w:val="4"/>
  </w:num>
  <w:num w:numId="6" w16cid:durableId="1166435833">
    <w:abstractNumId w:val="2"/>
  </w:num>
  <w:num w:numId="7" w16cid:durableId="677317002">
    <w:abstractNumId w:val="13"/>
  </w:num>
  <w:num w:numId="8" w16cid:durableId="423457444">
    <w:abstractNumId w:val="14"/>
  </w:num>
  <w:num w:numId="9" w16cid:durableId="2011174798">
    <w:abstractNumId w:val="14"/>
  </w:num>
  <w:num w:numId="10" w16cid:durableId="247345459">
    <w:abstractNumId w:val="14"/>
  </w:num>
  <w:num w:numId="11" w16cid:durableId="1019967856">
    <w:abstractNumId w:val="20"/>
  </w:num>
  <w:num w:numId="12" w16cid:durableId="389815324">
    <w:abstractNumId w:val="14"/>
  </w:num>
  <w:num w:numId="13" w16cid:durableId="2033067960">
    <w:abstractNumId w:val="14"/>
  </w:num>
  <w:num w:numId="14" w16cid:durableId="1344168284">
    <w:abstractNumId w:val="14"/>
  </w:num>
  <w:num w:numId="15" w16cid:durableId="1805461220">
    <w:abstractNumId w:val="12"/>
  </w:num>
  <w:num w:numId="16" w16cid:durableId="997198434">
    <w:abstractNumId w:val="14"/>
  </w:num>
  <w:num w:numId="17" w16cid:durableId="324475949">
    <w:abstractNumId w:val="24"/>
  </w:num>
  <w:num w:numId="18" w16cid:durableId="68116765">
    <w:abstractNumId w:val="21"/>
  </w:num>
  <w:num w:numId="19" w16cid:durableId="934096289">
    <w:abstractNumId w:val="25"/>
  </w:num>
  <w:num w:numId="20" w16cid:durableId="1487669919">
    <w:abstractNumId w:val="19"/>
  </w:num>
  <w:num w:numId="21" w16cid:durableId="1621301311">
    <w:abstractNumId w:val="18"/>
  </w:num>
  <w:num w:numId="22" w16cid:durableId="1122259982">
    <w:abstractNumId w:val="11"/>
  </w:num>
  <w:num w:numId="23" w16cid:durableId="1855412041">
    <w:abstractNumId w:val="23"/>
  </w:num>
  <w:num w:numId="24" w16cid:durableId="658505998">
    <w:abstractNumId w:val="7"/>
  </w:num>
  <w:num w:numId="25" w16cid:durableId="1724206656">
    <w:abstractNumId w:val="14"/>
  </w:num>
  <w:num w:numId="26" w16cid:durableId="1400128488">
    <w:abstractNumId w:val="9"/>
  </w:num>
  <w:num w:numId="27" w16cid:durableId="127624432">
    <w:abstractNumId w:val="5"/>
  </w:num>
  <w:num w:numId="28" w16cid:durableId="1110903406">
    <w:abstractNumId w:val="8"/>
  </w:num>
  <w:num w:numId="29" w16cid:durableId="548344408">
    <w:abstractNumId w:val="1"/>
  </w:num>
  <w:num w:numId="30" w16cid:durableId="6636307">
    <w:abstractNumId w:val="3"/>
  </w:num>
  <w:num w:numId="31" w16cid:durableId="2027637223">
    <w:abstractNumId w:val="0"/>
  </w:num>
  <w:num w:numId="32" w16cid:durableId="14428127">
    <w:abstractNumId w:val="14"/>
  </w:num>
  <w:num w:numId="33" w16cid:durableId="1641181447">
    <w:abstractNumId w:val="14"/>
  </w:num>
  <w:num w:numId="34" w16cid:durableId="1810630916">
    <w:abstractNumId w:val="22"/>
  </w:num>
  <w:num w:numId="35" w16cid:durableId="1170558457">
    <w:abstractNumId w:val="17"/>
  </w:num>
  <w:num w:numId="36" w16cid:durableId="139893492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0120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1742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20E2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72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1E1E63-2F7B-476E-B2EA-E1B497027C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VAL Elena</cp:lastModifiedBy>
  <cp:revision>2</cp:revision>
  <cp:lastPrinted>2012-02-09T06:27:00Z</cp:lastPrinted>
  <dcterms:created xsi:type="dcterms:W3CDTF">2023-02-13T11:33:00Z</dcterms:created>
  <dcterms:modified xsi:type="dcterms:W3CDTF">2023-02-13T11:33:00Z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